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7FD" w:rsidRDefault="00B807FD" w:rsidP="007D70D1">
      <w:pPr>
        <w:jc w:val="center"/>
      </w:pPr>
      <w:r>
        <w:t xml:space="preserve">Обзор судебной практики Верховного Суда Российской Федерации № 1 (2020), </w:t>
      </w:r>
    </w:p>
    <w:p w:rsidR="00B807FD" w:rsidRDefault="00B807FD" w:rsidP="007D70D1">
      <w:pPr>
        <w:jc w:val="center"/>
        <w:rPr>
          <w:szCs w:val="24"/>
        </w:rPr>
      </w:pPr>
      <w:r>
        <w:t>утв. Президиумом ВС РФ 10.06.2020</w:t>
      </w:r>
    </w:p>
    <w:p w:rsidR="00B807FD" w:rsidRDefault="00B807FD" w:rsidP="007D70D1">
      <w:pPr>
        <w:jc w:val="center"/>
        <w:rPr>
          <w:szCs w:val="24"/>
        </w:rPr>
      </w:pPr>
    </w:p>
    <w:p w:rsidR="00B807FD" w:rsidRPr="00684940" w:rsidRDefault="00B807FD" w:rsidP="007D70D1">
      <w:pPr>
        <w:jc w:val="center"/>
        <w:rPr>
          <w:sz w:val="28"/>
          <w:szCs w:val="28"/>
        </w:rPr>
      </w:pPr>
    </w:p>
    <w:p w:rsidR="00B807FD" w:rsidRPr="001C31BE" w:rsidRDefault="00B807FD" w:rsidP="007D70D1">
      <w:pPr>
        <w:jc w:val="center"/>
        <w:rPr>
          <w:szCs w:val="24"/>
        </w:rPr>
      </w:pPr>
      <w:r>
        <w:rPr>
          <w:szCs w:val="24"/>
        </w:rPr>
        <w:t>Компендиум</w:t>
      </w:r>
    </w:p>
    <w:p w:rsidR="00B807FD" w:rsidRPr="00684940" w:rsidRDefault="00B807FD" w:rsidP="007D70D1">
      <w:pPr>
        <w:rPr>
          <w:sz w:val="32"/>
          <w:szCs w:val="32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0"/>
        <w:gridCol w:w="4119"/>
        <w:gridCol w:w="5463"/>
      </w:tblGrid>
      <w:tr w:rsidR="00B807FD" w:rsidRPr="001C31BE" w:rsidTr="00D21D5A">
        <w:tc>
          <w:tcPr>
            <w:tcW w:w="515" w:type="pct"/>
            <w:tcBorders>
              <w:bottom w:val="single" w:sz="8" w:space="0" w:color="FFFFFF"/>
            </w:tcBorders>
            <w:shd w:val="clear" w:color="auto" w:fill="7F7F7F" w:themeFill="text1" w:themeFillTint="80"/>
            <w:vAlign w:val="center"/>
          </w:tcPr>
          <w:p w:rsidR="00B807FD" w:rsidRPr="001C31BE" w:rsidRDefault="00B807FD" w:rsidP="007D70D1">
            <w:pPr>
              <w:spacing w:before="60" w:after="60"/>
              <w:jc w:val="right"/>
              <w:rPr>
                <w:b/>
                <w:bCs/>
                <w:color w:val="FFFFFF" w:themeColor="background1"/>
                <w:szCs w:val="24"/>
              </w:rPr>
            </w:pPr>
            <w:r w:rsidRPr="001C31BE">
              <w:rPr>
                <w:b/>
                <w:bCs/>
                <w:color w:val="FFFFFF" w:themeColor="background1"/>
                <w:szCs w:val="24"/>
              </w:rPr>
              <w:t>Текст</w:t>
            </w:r>
          </w:p>
        </w:tc>
        <w:tc>
          <w:tcPr>
            <w:tcW w:w="4485" w:type="pct"/>
            <w:gridSpan w:val="2"/>
            <w:tcBorders>
              <w:bottom w:val="dotted" w:sz="4" w:space="0" w:color="7F7F7F" w:themeColor="text1" w:themeTint="80"/>
            </w:tcBorders>
          </w:tcPr>
          <w:p w:rsidR="00B807FD" w:rsidRPr="004823C3" w:rsidRDefault="00425B7B" w:rsidP="007D70D1">
            <w:pPr>
              <w:spacing w:before="60" w:after="60"/>
              <w:rPr>
                <w:szCs w:val="24"/>
              </w:rPr>
            </w:pPr>
            <w:hyperlink r:id="rId7" w:history="1">
              <w:r w:rsidR="004823C3" w:rsidRPr="00FA0FA0">
                <w:rPr>
                  <w:rStyle w:val="a4"/>
                </w:rPr>
                <w:t>http://www.supcourt.ru/documents/practice/28993/</w:t>
              </w:r>
            </w:hyperlink>
          </w:p>
        </w:tc>
      </w:tr>
      <w:tr w:rsidR="00B807FD" w:rsidRPr="001C31BE" w:rsidTr="00BC1BCD">
        <w:tc>
          <w:tcPr>
            <w:tcW w:w="5000" w:type="pct"/>
            <w:gridSpan w:val="3"/>
            <w:tcBorders>
              <w:bottom w:val="single" w:sz="8" w:space="0" w:color="FFFFFF"/>
            </w:tcBorders>
            <w:shd w:val="clear" w:color="auto" w:fill="595959" w:themeFill="text1" w:themeFillTint="A6"/>
          </w:tcPr>
          <w:p w:rsidR="00B807FD" w:rsidRPr="001C31BE" w:rsidRDefault="00321DAD" w:rsidP="007D70D1">
            <w:pPr>
              <w:spacing w:before="60" w:after="6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color w:val="FFFFFF" w:themeColor="background1"/>
                <w:szCs w:val="24"/>
              </w:rPr>
              <w:t>Легенда</w:t>
            </w:r>
            <w:r w:rsidR="00B807FD" w:rsidRPr="001C31BE">
              <w:rPr>
                <w:b/>
                <w:bCs/>
                <w:color w:val="FFFFFF" w:themeColor="background1"/>
                <w:szCs w:val="24"/>
              </w:rPr>
              <w:t>:</w:t>
            </w:r>
          </w:p>
        </w:tc>
      </w:tr>
      <w:tr w:rsidR="00321DAD" w:rsidRPr="001C31BE" w:rsidTr="00D21D5A">
        <w:tc>
          <w:tcPr>
            <w:tcW w:w="515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7F7F7F" w:themeFill="text1" w:themeFillTint="80"/>
            <w:vAlign w:val="center"/>
          </w:tcPr>
          <w:p w:rsidR="00321DAD" w:rsidRPr="001C31BE" w:rsidRDefault="00321DAD" w:rsidP="007D70D1">
            <w:pPr>
              <w:spacing w:before="60" w:after="60"/>
              <w:jc w:val="right"/>
              <w:rPr>
                <w:b/>
                <w:bCs/>
                <w:color w:val="FFFFFF" w:themeColor="background1"/>
                <w:szCs w:val="24"/>
              </w:rPr>
            </w:pPr>
            <w:r>
              <w:rPr>
                <w:b/>
                <w:bCs/>
                <w:color w:val="FFFFFF" w:themeColor="background1"/>
                <w:szCs w:val="24"/>
              </w:rPr>
              <w:t>Д</w:t>
            </w:r>
          </w:p>
        </w:tc>
        <w:tc>
          <w:tcPr>
            <w:tcW w:w="1928" w:type="pct"/>
            <w:tcBorders>
              <w:top w:val="dotted" w:sz="4" w:space="0" w:color="7F7F7F" w:themeColor="text1" w:themeTint="80"/>
              <w:bottom w:val="dotted" w:sz="4" w:space="0" w:color="7F7F7F" w:themeColor="text1" w:themeTint="80"/>
              <w:right w:val="single" w:sz="12" w:space="0" w:color="FFFFFF" w:themeColor="background1"/>
            </w:tcBorders>
          </w:tcPr>
          <w:p w:rsidR="00321DAD" w:rsidRPr="001C31BE" w:rsidRDefault="00321DAD" w:rsidP="007D70D1">
            <w:pPr>
              <w:spacing w:before="60" w:after="60"/>
              <w:rPr>
                <w:szCs w:val="24"/>
              </w:rPr>
            </w:pPr>
            <w:r>
              <w:rPr>
                <w:szCs w:val="24"/>
              </w:rPr>
              <w:t>должник</w:t>
            </w:r>
          </w:p>
        </w:tc>
        <w:tc>
          <w:tcPr>
            <w:tcW w:w="2557" w:type="pct"/>
            <w:tcBorders>
              <w:top w:val="dotted" w:sz="4" w:space="0" w:color="7F7F7F" w:themeColor="text1" w:themeTint="80"/>
              <w:left w:val="single" w:sz="12" w:space="0" w:color="FFFFFF" w:themeColor="background1"/>
              <w:bottom w:val="dotted" w:sz="4" w:space="0" w:color="7F7F7F" w:themeColor="text1" w:themeTint="80"/>
            </w:tcBorders>
          </w:tcPr>
          <w:p w:rsidR="00321DAD" w:rsidRPr="001C31BE" w:rsidRDefault="00321DAD" w:rsidP="00321DAD">
            <w:pPr>
              <w:spacing w:before="60" w:after="60"/>
              <w:rPr>
                <w:szCs w:val="24"/>
              </w:rPr>
            </w:pPr>
          </w:p>
        </w:tc>
      </w:tr>
      <w:tr w:rsidR="00321DAD" w:rsidRPr="001C31BE" w:rsidTr="00D21D5A">
        <w:tc>
          <w:tcPr>
            <w:tcW w:w="515" w:type="pct"/>
            <w:tcBorders>
              <w:bottom w:val="single" w:sz="8" w:space="0" w:color="FFFFFF"/>
            </w:tcBorders>
            <w:shd w:val="clear" w:color="auto" w:fill="7F7F7F" w:themeFill="text1" w:themeFillTint="80"/>
            <w:vAlign w:val="center"/>
          </w:tcPr>
          <w:p w:rsidR="00321DAD" w:rsidRPr="001C31BE" w:rsidRDefault="00321DAD" w:rsidP="007D70D1">
            <w:pPr>
              <w:spacing w:before="60" w:after="60"/>
              <w:jc w:val="right"/>
              <w:rPr>
                <w:b/>
                <w:bCs/>
                <w:color w:val="FFFFFF" w:themeColor="background1"/>
                <w:szCs w:val="24"/>
              </w:rPr>
            </w:pPr>
            <w:r>
              <w:rPr>
                <w:b/>
                <w:bCs/>
                <w:color w:val="FFFFFF" w:themeColor="background1"/>
                <w:szCs w:val="24"/>
              </w:rPr>
              <w:t>К</w:t>
            </w:r>
          </w:p>
        </w:tc>
        <w:tc>
          <w:tcPr>
            <w:tcW w:w="1928" w:type="pct"/>
            <w:tcBorders>
              <w:bottom w:val="dotted" w:sz="4" w:space="0" w:color="7F7F7F" w:themeColor="text1" w:themeTint="80"/>
              <w:right w:val="dotted" w:sz="4" w:space="0" w:color="auto"/>
            </w:tcBorders>
          </w:tcPr>
          <w:p w:rsidR="00321DAD" w:rsidRPr="001C31BE" w:rsidRDefault="00321DAD" w:rsidP="007D70D1">
            <w:pPr>
              <w:spacing w:before="60" w:after="60"/>
              <w:rPr>
                <w:szCs w:val="24"/>
              </w:rPr>
            </w:pPr>
            <w:r>
              <w:rPr>
                <w:szCs w:val="24"/>
              </w:rPr>
              <w:t>кредитор</w:t>
            </w:r>
          </w:p>
        </w:tc>
        <w:tc>
          <w:tcPr>
            <w:tcW w:w="2557" w:type="pct"/>
            <w:tcBorders>
              <w:top w:val="dotted" w:sz="4" w:space="0" w:color="7F7F7F" w:themeColor="text1" w:themeTint="80"/>
              <w:left w:val="dotted" w:sz="4" w:space="0" w:color="auto"/>
              <w:bottom w:val="single" w:sz="12" w:space="0" w:color="FFFFFF" w:themeColor="background1"/>
            </w:tcBorders>
            <w:shd w:val="clear" w:color="auto" w:fill="DBE5F1" w:themeFill="accent1" w:themeFillTint="33"/>
          </w:tcPr>
          <w:p w:rsidR="00321DAD" w:rsidRPr="00D21D5A" w:rsidRDefault="00321DAD" w:rsidP="00E81825">
            <w:pPr>
              <w:spacing w:before="60" w:after="60"/>
              <w:rPr>
                <w:color w:val="365F91" w:themeColor="accent1" w:themeShade="BF"/>
                <w:szCs w:val="24"/>
              </w:rPr>
            </w:pPr>
            <w:r w:rsidRPr="00D21D5A">
              <w:rPr>
                <w:color w:val="365F91" w:themeColor="accent1" w:themeShade="BF"/>
                <w:szCs w:val="24"/>
              </w:rPr>
              <w:t>Гражданские дела</w:t>
            </w:r>
          </w:p>
        </w:tc>
      </w:tr>
      <w:tr w:rsidR="00321DAD" w:rsidRPr="001C31BE" w:rsidTr="00D21D5A">
        <w:tc>
          <w:tcPr>
            <w:tcW w:w="515" w:type="pct"/>
            <w:tcBorders>
              <w:bottom w:val="single" w:sz="8" w:space="0" w:color="FFFFFF"/>
            </w:tcBorders>
            <w:shd w:val="clear" w:color="auto" w:fill="7F7F7F" w:themeFill="text1" w:themeFillTint="80"/>
            <w:vAlign w:val="center"/>
          </w:tcPr>
          <w:p w:rsidR="00321DAD" w:rsidRDefault="00321DAD" w:rsidP="007D70D1">
            <w:pPr>
              <w:spacing w:before="60" w:after="60"/>
              <w:jc w:val="right"/>
              <w:rPr>
                <w:b/>
                <w:bCs/>
                <w:color w:val="FFFFFF" w:themeColor="background1"/>
                <w:szCs w:val="24"/>
              </w:rPr>
            </w:pPr>
            <w:r>
              <w:rPr>
                <w:b/>
                <w:bCs/>
                <w:color w:val="FFFFFF" w:themeColor="background1"/>
                <w:szCs w:val="24"/>
              </w:rPr>
              <w:t>КДЛ</w:t>
            </w:r>
          </w:p>
        </w:tc>
        <w:tc>
          <w:tcPr>
            <w:tcW w:w="1928" w:type="pct"/>
            <w:tcBorders>
              <w:bottom w:val="dotted" w:sz="4" w:space="0" w:color="7F7F7F" w:themeColor="text1" w:themeTint="80"/>
              <w:right w:val="dotted" w:sz="4" w:space="0" w:color="auto"/>
            </w:tcBorders>
          </w:tcPr>
          <w:p w:rsidR="00321DAD" w:rsidRDefault="00321DAD" w:rsidP="007D70D1">
            <w:pPr>
              <w:spacing w:before="60" w:after="60"/>
              <w:rPr>
                <w:szCs w:val="24"/>
              </w:rPr>
            </w:pPr>
            <w:r>
              <w:rPr>
                <w:szCs w:val="24"/>
              </w:rPr>
              <w:t>контролирующее должника лицо</w:t>
            </w:r>
          </w:p>
        </w:tc>
        <w:tc>
          <w:tcPr>
            <w:tcW w:w="2557" w:type="pct"/>
            <w:tcBorders>
              <w:top w:val="single" w:sz="12" w:space="0" w:color="FFFFFF" w:themeColor="background1"/>
              <w:left w:val="dotted" w:sz="4" w:space="0" w:color="auto"/>
              <w:bottom w:val="single" w:sz="12" w:space="0" w:color="FFFFFF" w:themeColor="background1"/>
            </w:tcBorders>
            <w:shd w:val="clear" w:color="auto" w:fill="F2DBDB" w:themeFill="accent2" w:themeFillTint="33"/>
          </w:tcPr>
          <w:p w:rsidR="00321DAD" w:rsidRPr="00D21D5A" w:rsidRDefault="00321DAD" w:rsidP="00E81825">
            <w:pPr>
              <w:spacing w:before="60" w:after="60"/>
              <w:rPr>
                <w:color w:val="943634" w:themeColor="accent2" w:themeShade="BF"/>
                <w:szCs w:val="24"/>
              </w:rPr>
            </w:pPr>
            <w:r>
              <w:rPr>
                <w:color w:val="943634" w:themeColor="accent2" w:themeShade="BF"/>
                <w:szCs w:val="24"/>
              </w:rPr>
              <w:t>Экономические споры</w:t>
            </w:r>
          </w:p>
        </w:tc>
      </w:tr>
      <w:tr w:rsidR="00321DAD" w:rsidRPr="001C31BE" w:rsidTr="00D21D5A">
        <w:tc>
          <w:tcPr>
            <w:tcW w:w="515" w:type="pct"/>
            <w:tcBorders>
              <w:bottom w:val="single" w:sz="8" w:space="0" w:color="FFFFFF"/>
            </w:tcBorders>
            <w:shd w:val="clear" w:color="auto" w:fill="7F7F7F" w:themeFill="text1" w:themeFillTint="80"/>
            <w:vAlign w:val="center"/>
          </w:tcPr>
          <w:p w:rsidR="00321DAD" w:rsidRPr="00685C25" w:rsidRDefault="00321DAD" w:rsidP="007D70D1">
            <w:pPr>
              <w:spacing w:before="60" w:after="60"/>
              <w:jc w:val="right"/>
              <w:rPr>
                <w:b/>
                <w:bCs/>
                <w:color w:val="FFFFFF" w:themeColor="background1"/>
                <w:szCs w:val="24"/>
              </w:rPr>
            </w:pPr>
            <w:r>
              <w:rPr>
                <w:b/>
                <w:bCs/>
                <w:color w:val="FFFFFF" w:themeColor="background1"/>
                <w:szCs w:val="24"/>
              </w:rPr>
              <w:t>СО</w:t>
            </w:r>
          </w:p>
        </w:tc>
        <w:tc>
          <w:tcPr>
            <w:tcW w:w="1928" w:type="pct"/>
            <w:tcBorders>
              <w:bottom w:val="dotted" w:sz="4" w:space="0" w:color="7F7F7F" w:themeColor="text1" w:themeTint="80"/>
              <w:right w:val="dotted" w:sz="4" w:space="0" w:color="auto"/>
            </w:tcBorders>
          </w:tcPr>
          <w:p w:rsidR="00321DAD" w:rsidRDefault="00321DAD" w:rsidP="007D70D1">
            <w:pPr>
              <w:spacing w:before="60" w:after="60"/>
              <w:rPr>
                <w:szCs w:val="24"/>
              </w:rPr>
            </w:pPr>
            <w:r>
              <w:rPr>
                <w:szCs w:val="24"/>
              </w:rPr>
              <w:t>субсидиарная ответственность</w:t>
            </w:r>
          </w:p>
        </w:tc>
        <w:tc>
          <w:tcPr>
            <w:tcW w:w="2557" w:type="pct"/>
            <w:tcBorders>
              <w:top w:val="single" w:sz="12" w:space="0" w:color="FFFFFF" w:themeColor="background1"/>
              <w:left w:val="dotted" w:sz="4" w:space="0" w:color="auto"/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321DAD" w:rsidRPr="00D21D5A" w:rsidRDefault="00311DD4" w:rsidP="00E81825">
            <w:pPr>
              <w:spacing w:before="60" w:after="60"/>
              <w:rPr>
                <w:color w:val="595959" w:themeColor="text1" w:themeTint="A6"/>
                <w:szCs w:val="24"/>
              </w:rPr>
            </w:pPr>
            <w:r>
              <w:rPr>
                <w:color w:val="595959" w:themeColor="text1" w:themeTint="A6"/>
                <w:szCs w:val="24"/>
              </w:rPr>
              <w:t>Административные дела</w:t>
            </w:r>
          </w:p>
        </w:tc>
      </w:tr>
      <w:tr w:rsidR="00321DAD" w:rsidRPr="001C31BE" w:rsidTr="00D21D5A">
        <w:tc>
          <w:tcPr>
            <w:tcW w:w="515" w:type="pct"/>
            <w:tcBorders>
              <w:top w:val="single" w:sz="8" w:space="0" w:color="FFFFFF"/>
              <w:bottom w:val="single" w:sz="1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321DAD" w:rsidRPr="001C31BE" w:rsidRDefault="00321DAD" w:rsidP="00143848">
            <w:pPr>
              <w:spacing w:before="60" w:after="60"/>
              <w:jc w:val="right"/>
              <w:rPr>
                <w:b/>
                <w:bCs/>
                <w:color w:val="FFFFFF" w:themeColor="background1"/>
                <w:szCs w:val="24"/>
              </w:rPr>
            </w:pPr>
            <w:proofErr w:type="spellStart"/>
            <w:r>
              <w:rPr>
                <w:b/>
                <w:bCs/>
                <w:color w:val="FFFFFF" w:themeColor="background1"/>
                <w:szCs w:val="24"/>
              </w:rPr>
              <w:t>ДоБ</w:t>
            </w:r>
            <w:proofErr w:type="spellEnd"/>
          </w:p>
        </w:tc>
        <w:tc>
          <w:tcPr>
            <w:tcW w:w="1928" w:type="pct"/>
            <w:tcBorders>
              <w:top w:val="dotted" w:sz="4" w:space="0" w:color="7F7F7F" w:themeColor="text1" w:themeTint="80"/>
              <w:bottom w:val="dotted" w:sz="4" w:space="0" w:color="7F7F7F" w:themeColor="text1" w:themeTint="80"/>
              <w:right w:val="dotted" w:sz="4" w:space="0" w:color="auto"/>
            </w:tcBorders>
          </w:tcPr>
          <w:p w:rsidR="00321DAD" w:rsidRPr="001C31BE" w:rsidRDefault="00321DAD" w:rsidP="00143848">
            <w:pPr>
              <w:spacing w:before="60" w:after="60"/>
              <w:rPr>
                <w:szCs w:val="24"/>
              </w:rPr>
            </w:pPr>
            <w:r>
              <w:rPr>
                <w:szCs w:val="24"/>
              </w:rPr>
              <w:t>дело о банкротстве</w:t>
            </w:r>
          </w:p>
        </w:tc>
        <w:tc>
          <w:tcPr>
            <w:tcW w:w="2557" w:type="pct"/>
            <w:tcBorders>
              <w:top w:val="dotted" w:sz="4" w:space="0" w:color="7F7F7F" w:themeColor="text1" w:themeTint="80"/>
              <w:left w:val="dotted" w:sz="4" w:space="0" w:color="auto"/>
              <w:bottom w:val="dotted" w:sz="4" w:space="0" w:color="7F7F7F" w:themeColor="text1" w:themeTint="80"/>
            </w:tcBorders>
            <w:shd w:val="clear" w:color="auto" w:fill="EAF1DD" w:themeFill="accent3" w:themeFillTint="33"/>
          </w:tcPr>
          <w:p w:rsidR="00321DAD" w:rsidRPr="00D21D5A" w:rsidRDefault="00311DD4" w:rsidP="00E81825">
            <w:pPr>
              <w:spacing w:before="60" w:after="60"/>
              <w:rPr>
                <w:color w:val="4F6228" w:themeColor="accent3" w:themeShade="80"/>
                <w:szCs w:val="24"/>
              </w:rPr>
            </w:pPr>
            <w:r>
              <w:rPr>
                <w:color w:val="4F6228" w:themeColor="accent3" w:themeShade="80"/>
                <w:szCs w:val="24"/>
              </w:rPr>
              <w:t>Вопросы из судебной практики</w:t>
            </w:r>
          </w:p>
        </w:tc>
      </w:tr>
      <w:tr w:rsidR="00A74F18" w:rsidRPr="001C31BE" w:rsidTr="00D21D5A">
        <w:tc>
          <w:tcPr>
            <w:tcW w:w="515" w:type="pct"/>
            <w:tcBorders>
              <w:top w:val="single" w:sz="1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A74F18" w:rsidRPr="001C31BE" w:rsidRDefault="00A74F18" w:rsidP="00143848">
            <w:pPr>
              <w:spacing w:before="60" w:after="60"/>
              <w:jc w:val="right"/>
              <w:rPr>
                <w:b/>
                <w:bCs/>
                <w:color w:val="FFFFFF" w:themeColor="background1"/>
                <w:szCs w:val="24"/>
              </w:rPr>
            </w:pPr>
            <w:proofErr w:type="spellStart"/>
            <w:r>
              <w:rPr>
                <w:b/>
                <w:bCs/>
                <w:color w:val="FFFFFF" w:themeColor="background1"/>
                <w:szCs w:val="24"/>
              </w:rPr>
              <w:t>ЗоБ</w:t>
            </w:r>
            <w:proofErr w:type="spellEnd"/>
          </w:p>
        </w:tc>
        <w:tc>
          <w:tcPr>
            <w:tcW w:w="4485" w:type="pct"/>
            <w:gridSpan w:val="2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:rsidR="00A74F18" w:rsidRPr="001C31BE" w:rsidRDefault="00A74F18" w:rsidP="00143848">
            <w:pPr>
              <w:spacing w:before="60" w:after="60"/>
              <w:rPr>
                <w:szCs w:val="24"/>
              </w:rPr>
            </w:pPr>
            <w:r w:rsidRPr="001C31BE">
              <w:rPr>
                <w:szCs w:val="24"/>
              </w:rPr>
              <w:t>Федеральный закон от 26.10.2002 № 127-ФЗ «О несостоятельности (банкротстве)»</w:t>
            </w:r>
          </w:p>
        </w:tc>
      </w:tr>
    </w:tbl>
    <w:p w:rsidR="00B807FD" w:rsidRDefault="00B807FD" w:rsidP="007D70D1">
      <w:pPr>
        <w:spacing w:before="60" w:after="60"/>
        <w:rPr>
          <w:sz w:val="36"/>
          <w:szCs w:val="36"/>
        </w:rPr>
      </w:pPr>
    </w:p>
    <w:tbl>
      <w:tblPr>
        <w:tblStyle w:val="a3"/>
        <w:tblW w:w="10881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685"/>
        <w:gridCol w:w="6237"/>
      </w:tblGrid>
      <w:tr w:rsidR="00B807FD" w:rsidRPr="001C31BE" w:rsidTr="00D21D5A">
        <w:trPr>
          <w:tblHeader/>
        </w:trPr>
        <w:tc>
          <w:tcPr>
            <w:tcW w:w="959" w:type="dxa"/>
            <w:tcBorders>
              <w:bottom w:val="single" w:sz="4" w:space="0" w:color="548DD4" w:themeColor="text2" w:themeTint="99"/>
              <w:right w:val="single" w:sz="8" w:space="0" w:color="F2F2F2" w:themeColor="background1" w:themeShade="F2"/>
            </w:tcBorders>
            <w:shd w:val="clear" w:color="auto" w:fill="595959" w:themeFill="text1" w:themeFillTint="A6"/>
          </w:tcPr>
          <w:p w:rsidR="00B807FD" w:rsidRPr="00710590" w:rsidRDefault="00B807FD" w:rsidP="00E81825">
            <w:pPr>
              <w:spacing w:before="60" w:after="60"/>
              <w:jc w:val="center"/>
              <w:rPr>
                <w:b/>
                <w:bCs/>
                <w:color w:val="FFFFFF" w:themeColor="background1"/>
                <w:szCs w:val="24"/>
              </w:rPr>
            </w:pPr>
            <w:r w:rsidRPr="00710590">
              <w:rPr>
                <w:b/>
                <w:bCs/>
                <w:color w:val="FFFFFF" w:themeColor="background1"/>
                <w:szCs w:val="24"/>
              </w:rPr>
              <w:t>Пункт</w:t>
            </w:r>
          </w:p>
        </w:tc>
        <w:tc>
          <w:tcPr>
            <w:tcW w:w="3685" w:type="dxa"/>
            <w:tcBorders>
              <w:left w:val="single" w:sz="8" w:space="0" w:color="F2F2F2" w:themeColor="background1" w:themeShade="F2"/>
              <w:bottom w:val="single" w:sz="4" w:space="0" w:color="548DD4" w:themeColor="text2" w:themeTint="99"/>
              <w:right w:val="single" w:sz="8" w:space="0" w:color="F2F2F2" w:themeColor="background1" w:themeShade="F2"/>
            </w:tcBorders>
            <w:shd w:val="clear" w:color="auto" w:fill="595959" w:themeFill="text1" w:themeFillTint="A6"/>
            <w:vAlign w:val="center"/>
          </w:tcPr>
          <w:p w:rsidR="00B807FD" w:rsidRPr="001C31BE" w:rsidRDefault="00B807FD" w:rsidP="007D70D1">
            <w:pPr>
              <w:spacing w:before="60" w:after="60"/>
              <w:jc w:val="center"/>
              <w:rPr>
                <w:b/>
                <w:bCs/>
                <w:color w:val="FFFFFF" w:themeColor="background1"/>
                <w:szCs w:val="24"/>
              </w:rPr>
            </w:pPr>
            <w:r w:rsidRPr="001C31BE">
              <w:rPr>
                <w:b/>
                <w:bCs/>
                <w:color w:val="FFFFFF" w:themeColor="background1"/>
                <w:szCs w:val="24"/>
              </w:rPr>
              <w:t>Позиция</w:t>
            </w:r>
          </w:p>
        </w:tc>
        <w:tc>
          <w:tcPr>
            <w:tcW w:w="6237" w:type="dxa"/>
            <w:tcBorders>
              <w:left w:val="single" w:sz="8" w:space="0" w:color="F2F2F2" w:themeColor="background1" w:themeShade="F2"/>
              <w:bottom w:val="single" w:sz="4" w:space="0" w:color="548DD4" w:themeColor="text2" w:themeTint="99"/>
            </w:tcBorders>
            <w:shd w:val="clear" w:color="auto" w:fill="595959" w:themeFill="text1" w:themeFillTint="A6"/>
            <w:vAlign w:val="center"/>
          </w:tcPr>
          <w:p w:rsidR="00B807FD" w:rsidRPr="001C31BE" w:rsidRDefault="00B807FD" w:rsidP="007D70D1">
            <w:pPr>
              <w:spacing w:before="60" w:after="60"/>
              <w:jc w:val="center"/>
              <w:rPr>
                <w:b/>
                <w:bCs/>
                <w:color w:val="FFFFFF" w:themeColor="background1"/>
                <w:szCs w:val="24"/>
              </w:rPr>
            </w:pPr>
            <w:r w:rsidRPr="001C31BE">
              <w:rPr>
                <w:b/>
                <w:bCs/>
                <w:color w:val="FFFFFF" w:themeColor="background1"/>
                <w:szCs w:val="24"/>
              </w:rPr>
              <w:t>Комментарий</w:t>
            </w:r>
          </w:p>
        </w:tc>
      </w:tr>
      <w:tr w:rsidR="00B807FD" w:rsidRPr="001C31BE" w:rsidTr="00D21D5A">
        <w:trPr>
          <w:trHeight w:val="1274"/>
        </w:trPr>
        <w:tc>
          <w:tcPr>
            <w:tcW w:w="95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B807FD" w:rsidRPr="00D21D5A" w:rsidRDefault="00F118FB" w:rsidP="00D21D5A">
            <w:pPr>
              <w:spacing w:before="60" w:after="60"/>
              <w:rPr>
                <w:color w:val="365F91" w:themeColor="accent1" w:themeShade="BF"/>
                <w:szCs w:val="24"/>
              </w:rPr>
            </w:pPr>
            <w:r w:rsidRPr="00D21D5A">
              <w:rPr>
                <w:color w:val="365F91" w:themeColor="accent1" w:themeShade="BF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B807FD" w:rsidRPr="001C31BE" w:rsidRDefault="00FC51B4" w:rsidP="007D70D1">
            <w:pPr>
              <w:spacing w:before="60" w:after="60"/>
              <w:rPr>
                <w:szCs w:val="24"/>
              </w:rPr>
            </w:pPr>
            <w:r>
              <w:rPr>
                <w:szCs w:val="24"/>
              </w:rPr>
              <w:t>Покупатель не вправе приостановить исполнение обязательства по оплате товара в случае, если товар был им ранее принят без оговорок.</w:t>
            </w:r>
          </w:p>
        </w:tc>
        <w:tc>
          <w:tcPr>
            <w:tcW w:w="6237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B807FD" w:rsidRPr="001C31BE" w:rsidRDefault="001D675D" w:rsidP="007D70D1">
            <w:pPr>
              <w:spacing w:before="60" w:after="60"/>
              <w:rPr>
                <w:szCs w:val="24"/>
              </w:rPr>
            </w:pPr>
            <w:r>
              <w:rPr>
                <w:szCs w:val="24"/>
              </w:rPr>
              <w:t xml:space="preserve">Если вместе с товаром не была передана необходимая документация, то покупатель либо отказывается от товара до подписания акта приема-передачи, либо устанавливает разумный срок для передачи необходимых документов. </w:t>
            </w:r>
          </w:p>
        </w:tc>
      </w:tr>
      <w:tr w:rsidR="00F118FB" w:rsidRPr="001C31BE" w:rsidTr="00D21D5A">
        <w:trPr>
          <w:trHeight w:val="910"/>
        </w:trPr>
        <w:tc>
          <w:tcPr>
            <w:tcW w:w="95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118FB" w:rsidRPr="00D21D5A" w:rsidRDefault="00F118FB" w:rsidP="00D21D5A">
            <w:pPr>
              <w:spacing w:before="60" w:after="60"/>
              <w:rPr>
                <w:color w:val="365F91" w:themeColor="accent1" w:themeShade="BF"/>
                <w:szCs w:val="24"/>
              </w:rPr>
            </w:pPr>
            <w:r w:rsidRPr="00D21D5A">
              <w:rPr>
                <w:color w:val="365F91" w:themeColor="accent1" w:themeShade="BF"/>
                <w:szCs w:val="24"/>
              </w:rPr>
              <w:t>10</w:t>
            </w:r>
          </w:p>
        </w:tc>
        <w:tc>
          <w:tcPr>
            <w:tcW w:w="368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118FB" w:rsidRPr="00710590" w:rsidRDefault="00F118FB" w:rsidP="007D70D1">
            <w:pPr>
              <w:spacing w:before="60" w:after="60"/>
              <w:rPr>
                <w:szCs w:val="24"/>
              </w:rPr>
            </w:pPr>
            <w:r w:rsidRPr="00710590">
              <w:rPr>
                <w:szCs w:val="24"/>
              </w:rPr>
              <w:t xml:space="preserve">Доходы от предпринимательской деятельности </w:t>
            </w:r>
            <w:r>
              <w:rPr>
                <w:szCs w:val="24"/>
              </w:rPr>
              <w:t xml:space="preserve">одного из супругов автоматически </w:t>
            </w:r>
            <w:r w:rsidRPr="00710590">
              <w:rPr>
                <w:szCs w:val="24"/>
              </w:rPr>
              <w:t>относятся к общему имуществу супругов.</w:t>
            </w:r>
          </w:p>
        </w:tc>
        <w:tc>
          <w:tcPr>
            <w:tcW w:w="6237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118FB" w:rsidRDefault="00F118FB" w:rsidP="007D70D1">
            <w:pPr>
              <w:spacing w:before="60" w:after="60"/>
              <w:rPr>
                <w:szCs w:val="24"/>
              </w:rPr>
            </w:pPr>
            <w:r>
              <w:rPr>
                <w:szCs w:val="24"/>
              </w:rPr>
              <w:t>Значение имеет только момент, когда возникло право на получение дохода (например, когда выполнялись работы по предпринимательскому договору). То, что второй супруг не участвовал в деятельности и что доходы не предназначались для передачи в семейный бюджет, не имеет никакого значения.</w:t>
            </w:r>
          </w:p>
        </w:tc>
      </w:tr>
      <w:tr w:rsidR="004569F5" w:rsidRPr="001C31BE" w:rsidTr="00D21D5A">
        <w:trPr>
          <w:trHeight w:val="910"/>
        </w:trPr>
        <w:tc>
          <w:tcPr>
            <w:tcW w:w="95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4569F5" w:rsidRPr="00D21D5A" w:rsidRDefault="004350AF" w:rsidP="00D21D5A">
            <w:pPr>
              <w:spacing w:before="60" w:after="60"/>
              <w:rPr>
                <w:color w:val="365F91" w:themeColor="accent1" w:themeShade="BF"/>
                <w:szCs w:val="24"/>
              </w:rPr>
            </w:pPr>
            <w:r w:rsidRPr="00D21D5A">
              <w:rPr>
                <w:color w:val="365F91" w:themeColor="accent1" w:themeShade="BF"/>
                <w:szCs w:val="24"/>
              </w:rPr>
              <w:t>15</w:t>
            </w:r>
          </w:p>
        </w:tc>
        <w:tc>
          <w:tcPr>
            <w:tcW w:w="368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4569F5" w:rsidRPr="00710590" w:rsidRDefault="00517F60" w:rsidP="00E81825">
            <w:pPr>
              <w:spacing w:before="60" w:after="60"/>
              <w:rPr>
                <w:szCs w:val="24"/>
              </w:rPr>
            </w:pPr>
            <w:r>
              <w:rPr>
                <w:szCs w:val="24"/>
              </w:rPr>
              <w:t>Третейская оговорка не позволит обойти процедуру установления требований</w:t>
            </w:r>
            <w:proofErr w:type="gramStart"/>
            <w:r>
              <w:rPr>
                <w:szCs w:val="24"/>
              </w:rPr>
              <w:t xml:space="preserve"> </w:t>
            </w:r>
            <w:r w:rsidRPr="00590FBE">
              <w:rPr>
                <w:b/>
                <w:szCs w:val="24"/>
              </w:rPr>
              <w:t>К</w:t>
            </w:r>
            <w:proofErr w:type="gramEnd"/>
            <w:r w:rsidR="00590FBE">
              <w:rPr>
                <w:szCs w:val="24"/>
              </w:rPr>
              <w:t xml:space="preserve"> в </w:t>
            </w:r>
            <w:proofErr w:type="spellStart"/>
            <w:r w:rsidR="00590FBE" w:rsidRPr="00590FBE">
              <w:rPr>
                <w:b/>
                <w:szCs w:val="24"/>
              </w:rPr>
              <w:t>Д</w:t>
            </w:r>
            <w:r w:rsidR="00A74F18">
              <w:rPr>
                <w:b/>
                <w:szCs w:val="24"/>
              </w:rPr>
              <w:t>оБ</w:t>
            </w:r>
            <w:r w:rsidR="004350AF" w:rsidRPr="00710590">
              <w:rPr>
                <w:szCs w:val="24"/>
              </w:rPr>
              <w:t>.</w:t>
            </w:r>
            <w:proofErr w:type="spellEnd"/>
          </w:p>
        </w:tc>
        <w:tc>
          <w:tcPr>
            <w:tcW w:w="6237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E7017A" w:rsidRDefault="00A8061E" w:rsidP="007D70D1">
            <w:pPr>
              <w:spacing w:before="60" w:after="60"/>
              <w:rPr>
                <w:szCs w:val="24"/>
              </w:rPr>
            </w:pPr>
            <w:r w:rsidRPr="00710590">
              <w:rPr>
                <w:szCs w:val="24"/>
              </w:rPr>
              <w:t xml:space="preserve">После введения </w:t>
            </w:r>
            <w:r w:rsidR="002E5E2E" w:rsidRPr="00710590">
              <w:rPr>
                <w:szCs w:val="24"/>
              </w:rPr>
              <w:t>наблюдения</w:t>
            </w:r>
            <w:r w:rsidR="00E7017A" w:rsidRPr="00590FBE">
              <w:rPr>
                <w:szCs w:val="24"/>
              </w:rPr>
              <w:t xml:space="preserve"> не может быть выдан исполнительный лист на исполнение решения третейского суда.</w:t>
            </w:r>
          </w:p>
          <w:p w:rsidR="00E7017A" w:rsidRDefault="00E7017A" w:rsidP="007D70D1">
            <w:pPr>
              <w:spacing w:before="60" w:after="60"/>
              <w:rPr>
                <w:szCs w:val="24"/>
              </w:rPr>
            </w:pPr>
            <w:r>
              <w:rPr>
                <w:szCs w:val="24"/>
              </w:rPr>
              <w:t xml:space="preserve">После введения конкурсного производства третейский суд вообще утрачивает компетенцию по рассмотрению спора и должен прекратить производство по делу. </w:t>
            </w:r>
          </w:p>
          <w:p w:rsidR="004569F5" w:rsidRPr="00710590" w:rsidRDefault="00E7017A" w:rsidP="00E81825">
            <w:pPr>
              <w:spacing w:before="60" w:after="60"/>
              <w:rPr>
                <w:szCs w:val="24"/>
              </w:rPr>
            </w:pPr>
            <w:r>
              <w:rPr>
                <w:szCs w:val="24"/>
              </w:rPr>
              <w:t>В обоих случаях требования</w:t>
            </w:r>
            <w:proofErr w:type="gramStart"/>
            <w:r>
              <w:rPr>
                <w:szCs w:val="24"/>
              </w:rPr>
              <w:t xml:space="preserve"> </w:t>
            </w:r>
            <w:r w:rsidRPr="00590FBE">
              <w:rPr>
                <w:b/>
                <w:szCs w:val="24"/>
              </w:rPr>
              <w:t>К</w:t>
            </w:r>
            <w:proofErr w:type="gramEnd"/>
            <w:r>
              <w:rPr>
                <w:szCs w:val="24"/>
              </w:rPr>
              <w:t xml:space="preserve"> устанавливаются в </w:t>
            </w:r>
            <w:proofErr w:type="spellStart"/>
            <w:r w:rsidR="00A74F18" w:rsidRPr="00D21D5A">
              <w:rPr>
                <w:b/>
                <w:szCs w:val="24"/>
              </w:rPr>
              <w:t>ДоБ</w:t>
            </w:r>
            <w:r w:rsidR="00A74F18">
              <w:rPr>
                <w:szCs w:val="24"/>
              </w:rPr>
              <w:t>.</w:t>
            </w:r>
            <w:proofErr w:type="spellEnd"/>
          </w:p>
        </w:tc>
      </w:tr>
      <w:tr w:rsidR="004B7DDE" w:rsidRPr="001C31BE" w:rsidTr="00D21D5A">
        <w:trPr>
          <w:trHeight w:val="910"/>
        </w:trPr>
        <w:tc>
          <w:tcPr>
            <w:tcW w:w="95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4B7DDE" w:rsidRPr="00D21D5A" w:rsidRDefault="00014A9B" w:rsidP="00D21D5A">
            <w:pPr>
              <w:spacing w:before="60" w:after="60"/>
              <w:rPr>
                <w:color w:val="365F91" w:themeColor="accent1" w:themeShade="BF"/>
                <w:szCs w:val="24"/>
              </w:rPr>
            </w:pPr>
            <w:r w:rsidRPr="00D21D5A">
              <w:rPr>
                <w:color w:val="365F91" w:themeColor="accent1" w:themeShade="BF"/>
                <w:szCs w:val="24"/>
              </w:rPr>
              <w:t>17</w:t>
            </w:r>
          </w:p>
        </w:tc>
        <w:tc>
          <w:tcPr>
            <w:tcW w:w="368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14A9B" w:rsidRPr="00710590" w:rsidRDefault="00B2296B" w:rsidP="00E81825">
            <w:pPr>
              <w:spacing w:before="60" w:after="60"/>
              <w:rPr>
                <w:szCs w:val="24"/>
              </w:rPr>
            </w:pPr>
            <w:r>
              <w:rPr>
                <w:szCs w:val="24"/>
              </w:rPr>
              <w:t xml:space="preserve">Срок апелляционного обжалования исчисляется </w:t>
            </w:r>
            <w:proofErr w:type="gramStart"/>
            <w:r>
              <w:rPr>
                <w:szCs w:val="24"/>
              </w:rPr>
              <w:t>с даты</w:t>
            </w:r>
            <w:proofErr w:type="gramEnd"/>
            <w:r>
              <w:rPr>
                <w:szCs w:val="24"/>
              </w:rPr>
              <w:t xml:space="preserve"> фактического изготовления мотивированного решения, а не указанной в самом решении даты, которая может быть недостоверна.</w:t>
            </w:r>
          </w:p>
        </w:tc>
        <w:tc>
          <w:tcPr>
            <w:tcW w:w="6237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4B7DDE" w:rsidRDefault="00B2296B" w:rsidP="007D70D1">
            <w:pPr>
              <w:spacing w:before="60" w:after="60"/>
              <w:rPr>
                <w:szCs w:val="24"/>
              </w:rPr>
            </w:pPr>
            <w:r>
              <w:rPr>
                <w:szCs w:val="24"/>
              </w:rPr>
              <w:t>В случае позднего изготовления и получения мотивированного решения надо обращаться с заявлением о восстановлении срока. Доказательствами могут быть сведения с сайта суда, установленный в суде порядок получения копий судебных актов; дата подачи заявления о выдаче копии судебного решения.</w:t>
            </w:r>
          </w:p>
          <w:p w:rsidR="00321DAD" w:rsidRPr="00710590" w:rsidRDefault="00321DAD" w:rsidP="00E81825">
            <w:pPr>
              <w:spacing w:before="60" w:after="60"/>
              <w:rPr>
                <w:szCs w:val="24"/>
              </w:rPr>
            </w:pPr>
            <w:r>
              <w:rPr>
                <w:szCs w:val="24"/>
              </w:rPr>
              <w:t>Актуально для судов общей юрисдикции.</w:t>
            </w:r>
          </w:p>
        </w:tc>
      </w:tr>
      <w:tr w:rsidR="00752E7D" w:rsidRPr="001C31BE" w:rsidTr="00D21D5A">
        <w:trPr>
          <w:trHeight w:val="287"/>
        </w:trPr>
        <w:tc>
          <w:tcPr>
            <w:tcW w:w="95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52E7D" w:rsidRPr="00D21D5A" w:rsidRDefault="00752E7D" w:rsidP="00D21D5A">
            <w:pPr>
              <w:spacing w:before="60" w:after="60"/>
              <w:rPr>
                <w:color w:val="365F91" w:themeColor="accent1" w:themeShade="BF"/>
                <w:szCs w:val="24"/>
              </w:rPr>
            </w:pPr>
            <w:r w:rsidRPr="00D21D5A">
              <w:rPr>
                <w:color w:val="365F91" w:themeColor="accent1" w:themeShade="BF"/>
                <w:szCs w:val="24"/>
              </w:rPr>
              <w:t>18</w:t>
            </w:r>
          </w:p>
        </w:tc>
        <w:tc>
          <w:tcPr>
            <w:tcW w:w="368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52E7D" w:rsidRDefault="00311DD4" w:rsidP="00E81825">
            <w:pPr>
              <w:spacing w:before="60" w:after="60"/>
              <w:rPr>
                <w:szCs w:val="24"/>
              </w:rPr>
            </w:pPr>
            <w:r>
              <w:rPr>
                <w:szCs w:val="24"/>
              </w:rPr>
              <w:t>Принятие и рассмотрение апелляционным судом доп. доказательств без оснований – повод для отмены его постановления</w:t>
            </w:r>
            <w:r w:rsidR="00752E7D">
              <w:rPr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52E7D" w:rsidRPr="00E81825" w:rsidRDefault="00311DD4">
            <w:pPr>
              <w:spacing w:before="60" w:after="60"/>
              <w:rPr>
                <w:szCs w:val="24"/>
              </w:rPr>
            </w:pPr>
            <w:r>
              <w:rPr>
                <w:szCs w:val="24"/>
              </w:rPr>
              <w:t>Необходимо обосновывать представление доп. доказательств в апелляционный суд, иначе это может выйти «боком».</w:t>
            </w:r>
          </w:p>
        </w:tc>
      </w:tr>
      <w:tr w:rsidR="00F54A2E" w:rsidRPr="001C31BE" w:rsidTr="00D21D5A">
        <w:trPr>
          <w:trHeight w:val="585"/>
        </w:trPr>
        <w:tc>
          <w:tcPr>
            <w:tcW w:w="95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D99594" w:themeColor="accent2" w:themeTint="99"/>
              <w:right w:val="single" w:sz="4" w:space="0" w:color="548DD4" w:themeColor="text2" w:themeTint="99"/>
            </w:tcBorders>
          </w:tcPr>
          <w:p w:rsidR="00F54A2E" w:rsidRPr="00D21D5A" w:rsidRDefault="007B7179" w:rsidP="00D21D5A">
            <w:pPr>
              <w:spacing w:before="60" w:after="60"/>
              <w:rPr>
                <w:color w:val="365F91" w:themeColor="accent1" w:themeShade="BF"/>
                <w:szCs w:val="24"/>
              </w:rPr>
            </w:pPr>
            <w:r w:rsidRPr="00D21D5A">
              <w:rPr>
                <w:color w:val="365F91" w:themeColor="accent1" w:themeShade="BF"/>
                <w:szCs w:val="24"/>
              </w:rPr>
              <w:lastRenderedPageBreak/>
              <w:t>20</w:t>
            </w:r>
          </w:p>
        </w:tc>
        <w:tc>
          <w:tcPr>
            <w:tcW w:w="368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D99594" w:themeColor="accent2" w:themeTint="99"/>
              <w:right w:val="single" w:sz="4" w:space="0" w:color="548DD4" w:themeColor="text2" w:themeTint="99"/>
            </w:tcBorders>
          </w:tcPr>
          <w:p w:rsidR="00F54A2E" w:rsidRDefault="009B3D55" w:rsidP="00E81825">
            <w:pPr>
              <w:spacing w:before="60" w:after="60"/>
              <w:rPr>
                <w:szCs w:val="24"/>
              </w:rPr>
            </w:pPr>
            <w:r>
              <w:rPr>
                <w:szCs w:val="24"/>
              </w:rPr>
              <w:t xml:space="preserve">Ограничение на ведение предпринимательской </w:t>
            </w:r>
            <w:proofErr w:type="spellStart"/>
            <w:r>
              <w:rPr>
                <w:szCs w:val="24"/>
              </w:rPr>
              <w:t>деят</w:t>
            </w:r>
            <w:r w:rsidR="00311DD4">
              <w:rPr>
                <w:szCs w:val="24"/>
              </w:rPr>
              <w:t>-сти</w:t>
            </w:r>
            <w:proofErr w:type="spellEnd"/>
            <w:r>
              <w:rPr>
                <w:szCs w:val="24"/>
              </w:rPr>
              <w:t xml:space="preserve"> не распространяется на ИП, в отношении </w:t>
            </w:r>
            <w:proofErr w:type="gramStart"/>
            <w:r>
              <w:rPr>
                <w:szCs w:val="24"/>
              </w:rPr>
              <w:t>которых</w:t>
            </w:r>
            <w:proofErr w:type="gramEnd"/>
            <w:r>
              <w:rPr>
                <w:szCs w:val="24"/>
              </w:rPr>
              <w:t xml:space="preserve"> прекращено </w:t>
            </w:r>
            <w:proofErr w:type="spellStart"/>
            <w:r w:rsidR="00311DD4">
              <w:rPr>
                <w:szCs w:val="24"/>
              </w:rPr>
              <w:t>ДоБ</w:t>
            </w:r>
            <w:proofErr w:type="spellEnd"/>
            <w:r w:rsidR="00311DD4">
              <w:rPr>
                <w:szCs w:val="24"/>
              </w:rPr>
              <w:t xml:space="preserve"> </w:t>
            </w:r>
            <w:r>
              <w:rPr>
                <w:szCs w:val="24"/>
              </w:rPr>
              <w:t>в связи с утверждением мирового соглашения.</w:t>
            </w:r>
          </w:p>
        </w:tc>
        <w:tc>
          <w:tcPr>
            <w:tcW w:w="6237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D99594" w:themeColor="accent2" w:themeTint="99"/>
              <w:right w:val="single" w:sz="4" w:space="0" w:color="548DD4" w:themeColor="text2" w:themeTint="99"/>
            </w:tcBorders>
          </w:tcPr>
          <w:p w:rsidR="00F54A2E" w:rsidRDefault="00345491" w:rsidP="007D70D1">
            <w:pPr>
              <w:spacing w:before="60" w:after="60"/>
              <w:rPr>
                <w:szCs w:val="24"/>
              </w:rPr>
            </w:pPr>
            <w:r>
              <w:rPr>
                <w:szCs w:val="24"/>
              </w:rPr>
              <w:t xml:space="preserve">Следует учитывать, что деятельность лица не восстанавливается автоматически. В заявительном порядке </w:t>
            </w:r>
            <w:r w:rsidR="0098057E">
              <w:rPr>
                <w:szCs w:val="24"/>
              </w:rPr>
              <w:t>необходима</w:t>
            </w:r>
            <w:r>
              <w:rPr>
                <w:szCs w:val="24"/>
              </w:rPr>
              <w:t xml:space="preserve"> </w:t>
            </w:r>
            <w:r w:rsidR="00680427">
              <w:rPr>
                <w:szCs w:val="24"/>
              </w:rPr>
              <w:t xml:space="preserve">повторная </w:t>
            </w:r>
            <w:r>
              <w:rPr>
                <w:szCs w:val="24"/>
              </w:rPr>
              <w:t>регистрация лица в качестве ИП.</w:t>
            </w:r>
          </w:p>
        </w:tc>
      </w:tr>
      <w:tr w:rsidR="007C4E11" w:rsidRPr="001C31BE" w:rsidTr="00D21D5A">
        <w:tc>
          <w:tcPr>
            <w:tcW w:w="959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</w:tcPr>
          <w:p w:rsidR="007C4E11" w:rsidRPr="00D21D5A" w:rsidRDefault="007C4E11" w:rsidP="00D21D5A">
            <w:pPr>
              <w:spacing w:before="60" w:after="60"/>
              <w:rPr>
                <w:color w:val="943634" w:themeColor="accent2" w:themeShade="BF"/>
                <w:szCs w:val="24"/>
              </w:rPr>
            </w:pPr>
            <w:r w:rsidRPr="00D21D5A">
              <w:rPr>
                <w:color w:val="943634" w:themeColor="accent2" w:themeShade="BF"/>
                <w:szCs w:val="24"/>
              </w:rPr>
              <w:t>22</w:t>
            </w:r>
          </w:p>
        </w:tc>
        <w:tc>
          <w:tcPr>
            <w:tcW w:w="3685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</w:tcPr>
          <w:p w:rsidR="007C4E11" w:rsidRPr="00AB5795" w:rsidRDefault="00103FD7" w:rsidP="007D70D1">
            <w:pPr>
              <w:spacing w:before="60" w:after="60"/>
              <w:rPr>
                <w:szCs w:val="24"/>
              </w:rPr>
            </w:pPr>
            <w:r w:rsidRPr="00AB5795">
              <w:rPr>
                <w:szCs w:val="24"/>
              </w:rPr>
              <w:t xml:space="preserve">Даже смерть не позволит избежать </w:t>
            </w:r>
            <w:r w:rsidR="00720034" w:rsidRPr="007E7817">
              <w:rPr>
                <w:b/>
                <w:szCs w:val="24"/>
              </w:rPr>
              <w:t>СО</w:t>
            </w:r>
            <w:r w:rsidRPr="00AB5795">
              <w:rPr>
                <w:szCs w:val="24"/>
              </w:rPr>
              <w:t xml:space="preserve"> по </w:t>
            </w:r>
            <w:proofErr w:type="spellStart"/>
            <w:r w:rsidRPr="007E7817">
              <w:rPr>
                <w:b/>
                <w:szCs w:val="24"/>
              </w:rPr>
              <w:t>ЗоБ</w:t>
            </w:r>
            <w:proofErr w:type="spellEnd"/>
            <w:r w:rsidR="007C4E11" w:rsidRPr="007E7817">
              <w:rPr>
                <w:b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</w:tcPr>
          <w:p w:rsidR="0042555B" w:rsidRDefault="007C4E11" w:rsidP="007D70D1">
            <w:pPr>
              <w:spacing w:before="60" w:after="60"/>
              <w:rPr>
                <w:szCs w:val="24"/>
              </w:rPr>
            </w:pPr>
            <w:r w:rsidRPr="00710590">
              <w:rPr>
                <w:szCs w:val="24"/>
              </w:rPr>
              <w:t xml:space="preserve">Долг, возникший из </w:t>
            </w:r>
            <w:r w:rsidR="0042555B" w:rsidRPr="00720034">
              <w:rPr>
                <w:b/>
                <w:szCs w:val="24"/>
              </w:rPr>
              <w:t>СО</w:t>
            </w:r>
            <w:r w:rsidRPr="00710590">
              <w:rPr>
                <w:szCs w:val="24"/>
              </w:rPr>
              <w:t xml:space="preserve">, </w:t>
            </w:r>
            <w:r w:rsidR="00103FD7">
              <w:rPr>
                <w:szCs w:val="24"/>
              </w:rPr>
              <w:t xml:space="preserve">не является неразрывно связанным с личностью умершего и «наследуется» в общем порядке и даже больше: после смерти наследодателя можно предъявить заявление о </w:t>
            </w:r>
            <w:proofErr w:type="gramStart"/>
            <w:r w:rsidR="0042555B" w:rsidRPr="00720034">
              <w:rPr>
                <w:b/>
                <w:szCs w:val="24"/>
              </w:rPr>
              <w:t>СО</w:t>
            </w:r>
            <w:proofErr w:type="gramEnd"/>
            <w:r w:rsidR="00103FD7">
              <w:rPr>
                <w:szCs w:val="24"/>
              </w:rPr>
              <w:t xml:space="preserve"> к наследникам / наследственной массе. </w:t>
            </w:r>
          </w:p>
          <w:p w:rsidR="007C4E11" w:rsidRPr="00710590" w:rsidRDefault="00103FD7" w:rsidP="007D70D1">
            <w:pPr>
              <w:spacing w:before="60" w:after="60"/>
              <w:rPr>
                <w:szCs w:val="24"/>
              </w:rPr>
            </w:pPr>
            <w:r>
              <w:rPr>
                <w:szCs w:val="24"/>
              </w:rPr>
              <w:t>Мотивировка: в наследственную массу входят не только долги с наступившим сроком платежа, но и вообще долги, которые не прекращаются со смертью.</w:t>
            </w:r>
            <w:bookmarkStart w:id="0" w:name="dst100657"/>
            <w:bookmarkEnd w:id="0"/>
          </w:p>
        </w:tc>
      </w:tr>
      <w:tr w:rsidR="007C4E11" w:rsidRPr="001C31BE" w:rsidTr="00D21D5A">
        <w:tc>
          <w:tcPr>
            <w:tcW w:w="959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</w:tcPr>
          <w:p w:rsidR="007C4E11" w:rsidRPr="00D21D5A" w:rsidRDefault="008F4745" w:rsidP="00D21D5A">
            <w:pPr>
              <w:spacing w:before="60" w:after="60"/>
              <w:rPr>
                <w:color w:val="943634" w:themeColor="accent2" w:themeShade="BF"/>
                <w:szCs w:val="24"/>
              </w:rPr>
            </w:pPr>
            <w:r w:rsidRPr="00D21D5A">
              <w:rPr>
                <w:color w:val="943634" w:themeColor="accent2" w:themeShade="BF"/>
                <w:szCs w:val="24"/>
              </w:rPr>
              <w:t>23</w:t>
            </w:r>
          </w:p>
        </w:tc>
        <w:tc>
          <w:tcPr>
            <w:tcW w:w="3685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</w:tcPr>
          <w:p w:rsidR="007C4E11" w:rsidRPr="00710590" w:rsidRDefault="005C56D4" w:rsidP="00456CD2">
            <w:pPr>
              <w:spacing w:before="60" w:after="60"/>
              <w:rPr>
                <w:szCs w:val="24"/>
              </w:rPr>
            </w:pPr>
            <w:r>
              <w:rPr>
                <w:szCs w:val="24"/>
              </w:rPr>
              <w:t xml:space="preserve">К </w:t>
            </w:r>
            <w:r w:rsidR="00446F4C" w:rsidRPr="007E7817">
              <w:rPr>
                <w:b/>
                <w:szCs w:val="24"/>
              </w:rPr>
              <w:t>СО</w:t>
            </w:r>
            <w:r w:rsidR="00446F4C" w:rsidRPr="00AB5795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могут  привлекаться не только </w:t>
            </w:r>
            <w:r w:rsidRPr="00720034">
              <w:rPr>
                <w:b/>
                <w:szCs w:val="24"/>
              </w:rPr>
              <w:t>КДЛ</w:t>
            </w:r>
            <w:r>
              <w:rPr>
                <w:szCs w:val="24"/>
              </w:rPr>
              <w:t>, но и</w:t>
            </w:r>
            <w:r w:rsidR="00456CD2">
              <w:rPr>
                <w:szCs w:val="24"/>
              </w:rPr>
              <w:t>х «соучастники».</w:t>
            </w:r>
          </w:p>
        </w:tc>
        <w:tc>
          <w:tcPr>
            <w:tcW w:w="6237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</w:tcPr>
          <w:p w:rsidR="00456CD2" w:rsidRDefault="00456CD2" w:rsidP="00E81825">
            <w:pPr>
              <w:spacing w:before="60" w:after="60"/>
              <w:rPr>
                <w:szCs w:val="24"/>
              </w:rPr>
            </w:pPr>
            <w:r>
              <w:rPr>
                <w:szCs w:val="24"/>
              </w:rPr>
              <w:t>Е</w:t>
            </w:r>
            <w:r w:rsidR="00446F4C">
              <w:rPr>
                <w:szCs w:val="24"/>
              </w:rPr>
              <w:t xml:space="preserve">сли </w:t>
            </w:r>
            <w:r w:rsidR="00586225" w:rsidRPr="00720034">
              <w:rPr>
                <w:b/>
                <w:szCs w:val="24"/>
              </w:rPr>
              <w:t>КДЛ</w:t>
            </w:r>
            <w:r w:rsidR="00586225">
              <w:rPr>
                <w:szCs w:val="24"/>
              </w:rPr>
              <w:t xml:space="preserve"> </w:t>
            </w:r>
            <w:r w:rsidR="00446F4C">
              <w:rPr>
                <w:szCs w:val="24"/>
              </w:rPr>
              <w:t>перевело активы</w:t>
            </w:r>
            <w:proofErr w:type="gramStart"/>
            <w:r w:rsidR="00446F4C">
              <w:rPr>
                <w:szCs w:val="24"/>
              </w:rPr>
              <w:t xml:space="preserve"> </w:t>
            </w:r>
            <w:r w:rsidR="00586225" w:rsidRPr="00720034">
              <w:rPr>
                <w:b/>
                <w:szCs w:val="24"/>
              </w:rPr>
              <w:t>Д</w:t>
            </w:r>
            <w:proofErr w:type="gramEnd"/>
            <w:r w:rsidR="00586225">
              <w:rPr>
                <w:szCs w:val="24"/>
              </w:rPr>
              <w:t xml:space="preserve"> </w:t>
            </w:r>
            <w:r w:rsidR="00446F4C">
              <w:rPr>
                <w:szCs w:val="24"/>
              </w:rPr>
              <w:t xml:space="preserve">на </w:t>
            </w:r>
            <w:r>
              <w:rPr>
                <w:szCs w:val="24"/>
              </w:rPr>
              <w:t xml:space="preserve">своих аффилированных </w:t>
            </w:r>
            <w:r w:rsidR="00586225">
              <w:rPr>
                <w:szCs w:val="24"/>
              </w:rPr>
              <w:t>лиц</w:t>
            </w:r>
            <w:r>
              <w:rPr>
                <w:szCs w:val="24"/>
              </w:rPr>
              <w:t xml:space="preserve"> (например, на детей), то оспаривание сделок по такому выводу активов / применение последствий недействительности мнимой сделки – не единственный способ защиты прав </w:t>
            </w:r>
            <w:r w:rsidRPr="00D21D5A">
              <w:rPr>
                <w:b/>
                <w:szCs w:val="24"/>
              </w:rPr>
              <w:t>К</w:t>
            </w:r>
            <w:r>
              <w:rPr>
                <w:szCs w:val="24"/>
              </w:rPr>
              <w:t>.</w:t>
            </w:r>
          </w:p>
          <w:p w:rsidR="0008342E" w:rsidRPr="0008342E" w:rsidRDefault="00456CD2" w:rsidP="00E81825">
            <w:pPr>
              <w:spacing w:before="60" w:after="60"/>
              <w:rPr>
                <w:szCs w:val="24"/>
              </w:rPr>
            </w:pPr>
            <w:r>
              <w:rPr>
                <w:szCs w:val="24"/>
              </w:rPr>
              <w:t xml:space="preserve">Возможна также солидарная ответственность </w:t>
            </w:r>
            <w:r w:rsidRPr="00D21D5A">
              <w:rPr>
                <w:b/>
                <w:szCs w:val="24"/>
              </w:rPr>
              <w:t>КДЛ</w:t>
            </w:r>
            <w:r>
              <w:rPr>
                <w:szCs w:val="24"/>
              </w:rPr>
              <w:t xml:space="preserve"> и </w:t>
            </w:r>
            <w:r w:rsidR="006D7FF8">
              <w:rPr>
                <w:szCs w:val="24"/>
              </w:rPr>
              <w:t xml:space="preserve">фиктивных </w:t>
            </w:r>
            <w:r>
              <w:rPr>
                <w:szCs w:val="24"/>
              </w:rPr>
              <w:t>получателей имущества</w:t>
            </w:r>
            <w:r w:rsidR="006D7FF8">
              <w:rPr>
                <w:szCs w:val="24"/>
              </w:rPr>
              <w:t>, если они действовали умышленно</w:t>
            </w:r>
            <w:r>
              <w:rPr>
                <w:szCs w:val="24"/>
              </w:rPr>
              <w:t xml:space="preserve">. </w:t>
            </w:r>
            <w:r w:rsidR="006D7FF8">
              <w:rPr>
                <w:szCs w:val="24"/>
              </w:rPr>
              <w:t xml:space="preserve">Оспаривать сделки не требуется; ответственность </w:t>
            </w:r>
            <w:proofErr w:type="spellStart"/>
            <w:r w:rsidR="006D7FF8">
              <w:rPr>
                <w:szCs w:val="24"/>
              </w:rPr>
              <w:t>деликтная</w:t>
            </w:r>
            <w:proofErr w:type="spellEnd"/>
            <w:r w:rsidR="006D7FF8"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</w:p>
        </w:tc>
      </w:tr>
      <w:tr w:rsidR="007C4E11" w:rsidRPr="001C31BE" w:rsidTr="00D21D5A">
        <w:tc>
          <w:tcPr>
            <w:tcW w:w="959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</w:tcPr>
          <w:p w:rsidR="007C4E11" w:rsidRPr="00D21D5A" w:rsidRDefault="00C70163" w:rsidP="00D21D5A">
            <w:pPr>
              <w:spacing w:before="60" w:after="60"/>
              <w:rPr>
                <w:color w:val="943634" w:themeColor="accent2" w:themeShade="BF"/>
                <w:szCs w:val="24"/>
              </w:rPr>
            </w:pPr>
            <w:r w:rsidRPr="00D21D5A">
              <w:rPr>
                <w:color w:val="943634" w:themeColor="accent2" w:themeShade="BF"/>
                <w:szCs w:val="24"/>
              </w:rPr>
              <w:t>24</w:t>
            </w:r>
          </w:p>
        </w:tc>
        <w:tc>
          <w:tcPr>
            <w:tcW w:w="3685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</w:tcPr>
          <w:p w:rsidR="007C4E11" w:rsidRPr="00710590" w:rsidRDefault="008251D0" w:rsidP="007D70D1">
            <w:pPr>
              <w:spacing w:before="60" w:after="60"/>
              <w:rPr>
                <w:szCs w:val="24"/>
              </w:rPr>
            </w:pPr>
            <w:proofErr w:type="spellStart"/>
            <w:r>
              <w:rPr>
                <w:szCs w:val="24"/>
              </w:rPr>
              <w:t>Непередача</w:t>
            </w:r>
            <w:proofErr w:type="spellEnd"/>
            <w:r>
              <w:rPr>
                <w:szCs w:val="24"/>
              </w:rPr>
              <w:t xml:space="preserve"> </w:t>
            </w:r>
            <w:r w:rsidRPr="005E2DEA">
              <w:rPr>
                <w:b/>
                <w:szCs w:val="24"/>
              </w:rPr>
              <w:t>КДЛ</w:t>
            </w:r>
            <w:r>
              <w:rPr>
                <w:szCs w:val="24"/>
              </w:rPr>
              <w:t xml:space="preserve"> документации</w:t>
            </w:r>
            <w:proofErr w:type="gramStart"/>
            <w:r>
              <w:rPr>
                <w:szCs w:val="24"/>
              </w:rPr>
              <w:t xml:space="preserve"> </w:t>
            </w:r>
            <w:r w:rsidRPr="005E2DEA">
              <w:rPr>
                <w:b/>
                <w:szCs w:val="24"/>
              </w:rPr>
              <w:t>Д</w:t>
            </w:r>
            <w:proofErr w:type="gramEnd"/>
            <w:r>
              <w:rPr>
                <w:szCs w:val="24"/>
              </w:rPr>
              <w:t xml:space="preserve"> арбитражному управляющему есть лишь презумпция правонарушения (доведение до банкротства). Презумпция не может подменять самого правонарушения.</w:t>
            </w:r>
          </w:p>
        </w:tc>
        <w:tc>
          <w:tcPr>
            <w:tcW w:w="6237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</w:tcPr>
          <w:p w:rsidR="00110715" w:rsidRDefault="008251D0" w:rsidP="007D70D1">
            <w:pPr>
              <w:spacing w:before="60" w:after="60"/>
              <w:rPr>
                <w:szCs w:val="24"/>
              </w:rPr>
            </w:pPr>
            <w:bookmarkStart w:id="1" w:name="dst100685"/>
            <w:bookmarkEnd w:id="1"/>
            <w:r>
              <w:rPr>
                <w:szCs w:val="24"/>
              </w:rPr>
              <w:t xml:space="preserve">Правонарушение состоит в иных деяниях, которыми </w:t>
            </w:r>
            <w:r w:rsidRPr="005E2DEA">
              <w:rPr>
                <w:b/>
                <w:szCs w:val="24"/>
              </w:rPr>
              <w:t>КДЛ</w:t>
            </w:r>
            <w:r>
              <w:rPr>
                <w:szCs w:val="24"/>
              </w:rPr>
              <w:t xml:space="preserve"> довело</w:t>
            </w:r>
            <w:proofErr w:type="gramStart"/>
            <w:r>
              <w:rPr>
                <w:szCs w:val="24"/>
              </w:rPr>
              <w:t xml:space="preserve"> </w:t>
            </w:r>
            <w:r w:rsidRPr="005E2DEA">
              <w:rPr>
                <w:b/>
                <w:szCs w:val="24"/>
              </w:rPr>
              <w:t>Д</w:t>
            </w:r>
            <w:proofErr w:type="gramEnd"/>
            <w:r>
              <w:rPr>
                <w:szCs w:val="24"/>
              </w:rPr>
              <w:t xml:space="preserve"> до банкротства и которые оно прикрывает, утаивая документацию </w:t>
            </w:r>
            <w:r w:rsidRPr="005E2DEA">
              <w:rPr>
                <w:b/>
                <w:szCs w:val="24"/>
              </w:rPr>
              <w:t>Д</w:t>
            </w:r>
            <w:r>
              <w:rPr>
                <w:szCs w:val="24"/>
              </w:rPr>
              <w:t>.</w:t>
            </w:r>
          </w:p>
          <w:p w:rsidR="00110715" w:rsidRPr="001C31BE" w:rsidRDefault="008251D0" w:rsidP="007D70D1">
            <w:pPr>
              <w:spacing w:before="60" w:after="60"/>
              <w:rPr>
                <w:szCs w:val="24"/>
              </w:rPr>
            </w:pPr>
            <w:r>
              <w:rPr>
                <w:szCs w:val="24"/>
              </w:rPr>
              <w:t xml:space="preserve">Подход применим и ко всем иным презумпциям по </w:t>
            </w:r>
            <w:proofErr w:type="spellStart"/>
            <w:r w:rsidRPr="005E2DEA">
              <w:rPr>
                <w:b/>
                <w:szCs w:val="24"/>
              </w:rPr>
              <w:t>ЗоБ</w:t>
            </w:r>
            <w:proofErr w:type="spellEnd"/>
            <w:r>
              <w:rPr>
                <w:szCs w:val="24"/>
              </w:rPr>
              <w:t>.</w:t>
            </w:r>
          </w:p>
        </w:tc>
      </w:tr>
      <w:tr w:rsidR="00EF6632" w:rsidRPr="001C31BE" w:rsidTr="00D21D5A">
        <w:tc>
          <w:tcPr>
            <w:tcW w:w="959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</w:tcPr>
          <w:p w:rsidR="00EF6632" w:rsidRPr="00D21D5A" w:rsidRDefault="00555101" w:rsidP="00D21D5A">
            <w:pPr>
              <w:spacing w:before="60" w:after="60"/>
              <w:rPr>
                <w:color w:val="943634" w:themeColor="accent2" w:themeShade="BF"/>
                <w:szCs w:val="24"/>
              </w:rPr>
            </w:pPr>
            <w:r w:rsidRPr="00D21D5A">
              <w:rPr>
                <w:color w:val="943634" w:themeColor="accent2" w:themeShade="BF"/>
                <w:szCs w:val="24"/>
              </w:rPr>
              <w:t>25</w:t>
            </w:r>
          </w:p>
        </w:tc>
        <w:tc>
          <w:tcPr>
            <w:tcW w:w="3685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</w:tcPr>
          <w:p w:rsidR="00EF6632" w:rsidRPr="00710590" w:rsidRDefault="008251D0" w:rsidP="007D70D1">
            <w:pPr>
              <w:spacing w:before="60" w:after="60"/>
              <w:rPr>
                <w:szCs w:val="24"/>
              </w:rPr>
            </w:pPr>
            <w:r>
              <w:rPr>
                <w:szCs w:val="24"/>
              </w:rPr>
              <w:t xml:space="preserve">Определение суда о признании сделки недействительной в </w:t>
            </w:r>
            <w:proofErr w:type="spellStart"/>
            <w:r w:rsidR="00A74F18" w:rsidRPr="00143848">
              <w:rPr>
                <w:b/>
                <w:szCs w:val="24"/>
              </w:rPr>
              <w:t>ДоБ</w:t>
            </w:r>
            <w:proofErr w:type="spellEnd"/>
            <w:r w:rsidR="00A74F18" w:rsidDel="00A74F18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«переживает» само </w:t>
            </w:r>
            <w:proofErr w:type="spellStart"/>
            <w:r w:rsidR="00A74F18" w:rsidRPr="00143848">
              <w:rPr>
                <w:b/>
                <w:szCs w:val="24"/>
              </w:rPr>
              <w:t>ДоБ</w:t>
            </w:r>
            <w:r>
              <w:rPr>
                <w:szCs w:val="24"/>
              </w:rPr>
              <w:t>.</w:t>
            </w:r>
            <w:proofErr w:type="spellEnd"/>
          </w:p>
        </w:tc>
        <w:tc>
          <w:tcPr>
            <w:tcW w:w="6237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</w:tcPr>
          <w:p w:rsidR="00EF6632" w:rsidRPr="00710590" w:rsidRDefault="008251D0" w:rsidP="007D70D1">
            <w:pPr>
              <w:spacing w:before="60" w:after="60"/>
              <w:rPr>
                <w:szCs w:val="24"/>
              </w:rPr>
            </w:pPr>
            <w:r>
              <w:rPr>
                <w:szCs w:val="24"/>
              </w:rPr>
              <w:t xml:space="preserve">Если требования всех кредиторов погашены, и </w:t>
            </w:r>
            <w:proofErr w:type="spellStart"/>
            <w:r w:rsidR="00A74F18" w:rsidRPr="00143848">
              <w:rPr>
                <w:b/>
                <w:szCs w:val="24"/>
              </w:rPr>
              <w:t>ДоБ</w:t>
            </w:r>
            <w:proofErr w:type="spellEnd"/>
            <w:r w:rsidR="00A74F18" w:rsidDel="00A74F18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прекращено, ответчик, сделка с которым была оспорена по </w:t>
            </w:r>
            <w:proofErr w:type="spellStart"/>
            <w:r>
              <w:rPr>
                <w:szCs w:val="24"/>
              </w:rPr>
              <w:t>банкротным</w:t>
            </w:r>
            <w:proofErr w:type="spellEnd"/>
            <w:r>
              <w:rPr>
                <w:szCs w:val="24"/>
              </w:rPr>
              <w:t xml:space="preserve"> основаниям, может ссылаться на судебный акт об этом и требовать прекращения исполнительного производства против него. Процедурный механизм прекращения производства в данном случае – зачет встречных требований</w:t>
            </w:r>
            <w:r w:rsidR="00C110BD">
              <w:rPr>
                <w:szCs w:val="24"/>
              </w:rPr>
              <w:t xml:space="preserve"> (требование</w:t>
            </w:r>
            <w:proofErr w:type="gramStart"/>
            <w:r w:rsidR="00C110BD">
              <w:rPr>
                <w:szCs w:val="24"/>
              </w:rPr>
              <w:t xml:space="preserve"> </w:t>
            </w:r>
            <w:r w:rsidR="00C110BD" w:rsidRPr="00753315">
              <w:rPr>
                <w:b/>
                <w:szCs w:val="24"/>
              </w:rPr>
              <w:t>Д</w:t>
            </w:r>
            <w:proofErr w:type="gramEnd"/>
            <w:r w:rsidR="00C110BD">
              <w:rPr>
                <w:szCs w:val="24"/>
              </w:rPr>
              <w:t xml:space="preserve"> к ответчику, основанное на недействительной сделке, против реституционного требования ответчика к </w:t>
            </w:r>
            <w:r w:rsidR="00C110BD" w:rsidRPr="00753315">
              <w:rPr>
                <w:b/>
                <w:szCs w:val="24"/>
              </w:rPr>
              <w:t>Д</w:t>
            </w:r>
            <w:r w:rsidR="00C110BD">
              <w:rPr>
                <w:szCs w:val="24"/>
              </w:rPr>
              <w:t xml:space="preserve"> по оспоренной сделке).</w:t>
            </w:r>
          </w:p>
        </w:tc>
      </w:tr>
      <w:tr w:rsidR="004C790D" w:rsidRPr="001C31BE" w:rsidTr="00D21D5A">
        <w:tc>
          <w:tcPr>
            <w:tcW w:w="959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</w:tcPr>
          <w:p w:rsidR="004C790D" w:rsidRPr="00D21D5A" w:rsidRDefault="007F5CFD" w:rsidP="00D21D5A">
            <w:pPr>
              <w:spacing w:before="60" w:after="60"/>
              <w:rPr>
                <w:color w:val="943634" w:themeColor="accent2" w:themeShade="BF"/>
                <w:szCs w:val="24"/>
              </w:rPr>
            </w:pPr>
            <w:r w:rsidRPr="00D21D5A">
              <w:rPr>
                <w:color w:val="943634" w:themeColor="accent2" w:themeShade="BF"/>
                <w:szCs w:val="24"/>
              </w:rPr>
              <w:t>28</w:t>
            </w:r>
          </w:p>
        </w:tc>
        <w:tc>
          <w:tcPr>
            <w:tcW w:w="3685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</w:tcPr>
          <w:p w:rsidR="004C790D" w:rsidRPr="00710590" w:rsidRDefault="00753315" w:rsidP="00E81825">
            <w:pPr>
              <w:spacing w:before="60" w:after="60"/>
              <w:rPr>
                <w:szCs w:val="24"/>
              </w:rPr>
            </w:pPr>
            <w:r>
              <w:rPr>
                <w:szCs w:val="24"/>
              </w:rPr>
              <w:t>Заявлен</w:t>
            </w:r>
            <w:r w:rsidR="006D7FF8">
              <w:rPr>
                <w:szCs w:val="24"/>
              </w:rPr>
              <w:t>и</w:t>
            </w:r>
            <w:r>
              <w:rPr>
                <w:szCs w:val="24"/>
              </w:rPr>
              <w:t xml:space="preserve">е </w:t>
            </w:r>
            <w:r w:rsidR="006D7FF8">
              <w:rPr>
                <w:szCs w:val="24"/>
              </w:rPr>
              <w:t xml:space="preserve">в порядке ст. 333 ГК РФ действует и при отмене решения с направлением дела на </w:t>
            </w:r>
            <w:r>
              <w:rPr>
                <w:szCs w:val="24"/>
              </w:rPr>
              <w:t>нов</w:t>
            </w:r>
            <w:r w:rsidR="006D7FF8">
              <w:rPr>
                <w:szCs w:val="24"/>
              </w:rPr>
              <w:t>ое</w:t>
            </w:r>
            <w:r>
              <w:rPr>
                <w:szCs w:val="24"/>
              </w:rPr>
              <w:t xml:space="preserve"> рассмотрени</w:t>
            </w:r>
            <w:r w:rsidR="006D7FF8">
              <w:rPr>
                <w:szCs w:val="24"/>
              </w:rPr>
              <w:t>е</w:t>
            </w:r>
            <w:r>
              <w:rPr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</w:tcPr>
          <w:p w:rsidR="004C790D" w:rsidRPr="001C31BE" w:rsidRDefault="00A74F18" w:rsidP="007D70D1">
            <w:pPr>
              <w:spacing w:before="60" w:after="60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</w:tr>
      <w:tr w:rsidR="005F28B0" w:rsidRPr="001C31BE" w:rsidTr="00D21D5A">
        <w:tc>
          <w:tcPr>
            <w:tcW w:w="959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404040" w:themeColor="text1" w:themeTint="BF"/>
              <w:right w:val="single" w:sz="4" w:space="0" w:color="D99594" w:themeColor="accent2" w:themeTint="99"/>
            </w:tcBorders>
          </w:tcPr>
          <w:p w:rsidR="005F28B0" w:rsidRPr="00D21D5A" w:rsidRDefault="00F34B67" w:rsidP="00D21D5A">
            <w:pPr>
              <w:spacing w:before="60" w:after="60"/>
              <w:rPr>
                <w:color w:val="943634" w:themeColor="accent2" w:themeShade="BF"/>
                <w:szCs w:val="24"/>
              </w:rPr>
            </w:pPr>
            <w:r w:rsidRPr="00D21D5A">
              <w:rPr>
                <w:color w:val="943634" w:themeColor="accent2" w:themeShade="BF"/>
                <w:szCs w:val="24"/>
              </w:rPr>
              <w:t>30</w:t>
            </w:r>
          </w:p>
        </w:tc>
        <w:tc>
          <w:tcPr>
            <w:tcW w:w="3685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404040" w:themeColor="text1" w:themeTint="BF"/>
              <w:right w:val="single" w:sz="4" w:space="0" w:color="D99594" w:themeColor="accent2" w:themeTint="99"/>
            </w:tcBorders>
          </w:tcPr>
          <w:p w:rsidR="005F28B0" w:rsidRPr="00710590" w:rsidRDefault="00C110BD" w:rsidP="007D70D1">
            <w:pPr>
              <w:spacing w:before="60" w:after="60"/>
              <w:rPr>
                <w:szCs w:val="24"/>
              </w:rPr>
            </w:pPr>
            <w:r>
              <w:rPr>
                <w:szCs w:val="24"/>
              </w:rPr>
              <w:t>Нормы о преддоговорной ответственности толкуются узко: она наступает за притворство и обман, а не просто за резкое прекращение переговоров</w:t>
            </w:r>
            <w:r w:rsidR="00DC17F6" w:rsidRPr="00710590">
              <w:rPr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404040" w:themeColor="text1" w:themeTint="BF"/>
              <w:right w:val="single" w:sz="4" w:space="0" w:color="D99594" w:themeColor="accent2" w:themeTint="99"/>
            </w:tcBorders>
          </w:tcPr>
          <w:p w:rsidR="005F28B0" w:rsidRPr="00710590" w:rsidRDefault="0044330B" w:rsidP="007D70D1">
            <w:pPr>
              <w:spacing w:before="60" w:after="60"/>
              <w:rPr>
                <w:szCs w:val="24"/>
              </w:rPr>
            </w:pPr>
            <w:bookmarkStart w:id="2" w:name="dst100782"/>
            <w:bookmarkStart w:id="3" w:name="dst100786"/>
            <w:bookmarkEnd w:id="2"/>
            <w:bookmarkEnd w:id="3"/>
            <w:r w:rsidRPr="00710590">
              <w:rPr>
                <w:szCs w:val="24"/>
              </w:rPr>
              <w:t>Н</w:t>
            </w:r>
            <w:r w:rsidR="00C47751" w:rsidRPr="00710590">
              <w:rPr>
                <w:szCs w:val="24"/>
              </w:rPr>
              <w:t xml:space="preserve">е </w:t>
            </w:r>
            <w:r w:rsidRPr="00710590">
              <w:rPr>
                <w:szCs w:val="24"/>
              </w:rPr>
              <w:t xml:space="preserve">являются </w:t>
            </w:r>
            <w:r w:rsidR="00C47751" w:rsidRPr="00710590">
              <w:rPr>
                <w:szCs w:val="24"/>
              </w:rPr>
              <w:t>недобросовестными действия</w:t>
            </w:r>
            <w:r w:rsidR="00425B7B">
              <w:rPr>
                <w:szCs w:val="24"/>
              </w:rPr>
              <w:t>ми</w:t>
            </w:r>
            <w:bookmarkStart w:id="4" w:name="_GoBack"/>
            <w:bookmarkEnd w:id="4"/>
            <w:r w:rsidR="00C110BD">
              <w:rPr>
                <w:szCs w:val="24"/>
              </w:rPr>
              <w:t xml:space="preserve"> само по себе прекращение переговоров на поздней их стадии</w:t>
            </w:r>
            <w:r w:rsidR="00C47751" w:rsidRPr="00710590">
              <w:rPr>
                <w:szCs w:val="24"/>
              </w:rPr>
              <w:t>,</w:t>
            </w:r>
            <w:r w:rsidR="00C110BD">
              <w:rPr>
                <w:szCs w:val="24"/>
              </w:rPr>
              <w:t xml:space="preserve">  а также</w:t>
            </w:r>
            <w:r w:rsidR="00C47751" w:rsidRPr="00710590">
              <w:rPr>
                <w:szCs w:val="24"/>
              </w:rPr>
              <w:t xml:space="preserve"> </w:t>
            </w:r>
            <w:r w:rsidR="009A79B7" w:rsidRPr="00710590">
              <w:rPr>
                <w:szCs w:val="24"/>
              </w:rPr>
              <w:t>ума</w:t>
            </w:r>
            <w:r w:rsidR="00C47751" w:rsidRPr="00710590">
              <w:rPr>
                <w:szCs w:val="24"/>
              </w:rPr>
              <w:t>лч</w:t>
            </w:r>
            <w:r w:rsidRPr="00710590">
              <w:rPr>
                <w:szCs w:val="24"/>
              </w:rPr>
              <w:t>ивание</w:t>
            </w:r>
            <w:r w:rsidR="00C47751" w:rsidRPr="00710590">
              <w:rPr>
                <w:szCs w:val="24"/>
              </w:rPr>
              <w:t xml:space="preserve"> о параллельных переговорах</w:t>
            </w:r>
            <w:r w:rsidR="00C110BD">
              <w:rPr>
                <w:szCs w:val="24"/>
              </w:rPr>
              <w:t>.</w:t>
            </w:r>
          </w:p>
        </w:tc>
      </w:tr>
      <w:tr w:rsidR="00A672C7" w:rsidRPr="001C31BE" w:rsidTr="00D21D5A">
        <w:tc>
          <w:tcPr>
            <w:tcW w:w="95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A672C7" w:rsidRPr="00D21D5A" w:rsidRDefault="00A672C7" w:rsidP="00D21D5A">
            <w:pPr>
              <w:spacing w:before="60" w:after="60"/>
              <w:rPr>
                <w:color w:val="595959" w:themeColor="text1" w:themeTint="A6"/>
                <w:szCs w:val="24"/>
              </w:rPr>
            </w:pPr>
            <w:r w:rsidRPr="00D21D5A">
              <w:rPr>
                <w:color w:val="595959" w:themeColor="text1" w:themeTint="A6"/>
                <w:szCs w:val="24"/>
              </w:rPr>
              <w:t>51</w:t>
            </w:r>
          </w:p>
        </w:tc>
        <w:tc>
          <w:tcPr>
            <w:tcW w:w="3685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A672C7" w:rsidRDefault="00A672C7" w:rsidP="00E81825">
            <w:pPr>
              <w:spacing w:before="60" w:after="60"/>
              <w:rPr>
                <w:szCs w:val="24"/>
              </w:rPr>
            </w:pPr>
            <w:r>
              <w:rPr>
                <w:szCs w:val="24"/>
              </w:rPr>
              <w:t xml:space="preserve">Уполномоченные органы не </w:t>
            </w:r>
            <w:r>
              <w:rPr>
                <w:szCs w:val="24"/>
              </w:rPr>
              <w:lastRenderedPageBreak/>
              <w:t>вправе отказать адвокату в доступе к сведениям о проведенных</w:t>
            </w:r>
            <w:r w:rsidR="00A74F18">
              <w:rPr>
                <w:szCs w:val="24"/>
              </w:rPr>
              <w:t xml:space="preserve"> проверках</w:t>
            </w:r>
            <w:r>
              <w:rPr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A74F18" w:rsidRDefault="00A74F18">
            <w:pPr>
              <w:spacing w:before="60" w:after="60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Даже если проверка касается области, где действует </w:t>
            </w:r>
            <w:r>
              <w:rPr>
                <w:szCs w:val="24"/>
              </w:rPr>
              <w:lastRenderedPageBreak/>
              <w:t>режим конфиденциальность информации (в рассмотренном ВС РФ примере – врачебная тайна).</w:t>
            </w:r>
          </w:p>
          <w:p w:rsidR="00A672C7" w:rsidRPr="00710590" w:rsidRDefault="00A74F18">
            <w:pPr>
              <w:spacing w:before="60" w:after="60"/>
              <w:rPr>
                <w:szCs w:val="24"/>
              </w:rPr>
            </w:pPr>
            <w:r>
              <w:rPr>
                <w:szCs w:val="24"/>
              </w:rPr>
              <w:t xml:space="preserve">Адвокату надо соответствующим образом сформулировать запрос (например, о представлении сведений </w:t>
            </w:r>
            <w:proofErr w:type="gramStart"/>
            <w:r>
              <w:rPr>
                <w:szCs w:val="24"/>
              </w:rPr>
              <w:t>именно</w:t>
            </w:r>
            <w:proofErr w:type="gramEnd"/>
            <w:r>
              <w:rPr>
                <w:szCs w:val="24"/>
              </w:rPr>
              <w:t xml:space="preserve"> о проверке, а не о здоровье пациента).</w:t>
            </w:r>
          </w:p>
        </w:tc>
      </w:tr>
      <w:tr w:rsidR="000342CB" w:rsidRPr="001C31BE" w:rsidTr="00D21D5A">
        <w:tc>
          <w:tcPr>
            <w:tcW w:w="95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0342CB" w:rsidRPr="00D21D5A" w:rsidRDefault="00C176C8" w:rsidP="00D21D5A">
            <w:pPr>
              <w:spacing w:before="60" w:after="60"/>
              <w:rPr>
                <w:color w:val="595959" w:themeColor="text1" w:themeTint="A6"/>
                <w:szCs w:val="24"/>
              </w:rPr>
            </w:pPr>
            <w:r w:rsidRPr="00D21D5A">
              <w:rPr>
                <w:color w:val="595959" w:themeColor="text1" w:themeTint="A6"/>
                <w:szCs w:val="24"/>
              </w:rPr>
              <w:lastRenderedPageBreak/>
              <w:t>52</w:t>
            </w:r>
          </w:p>
        </w:tc>
        <w:tc>
          <w:tcPr>
            <w:tcW w:w="3685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0342CB" w:rsidRDefault="00A74F18" w:rsidP="00E81825">
            <w:pPr>
              <w:spacing w:before="60" w:after="60"/>
              <w:rPr>
                <w:szCs w:val="24"/>
              </w:rPr>
            </w:pPr>
            <w:r>
              <w:rPr>
                <w:szCs w:val="24"/>
              </w:rPr>
              <w:t>При оценке р</w:t>
            </w:r>
            <w:r w:rsidR="00D318FC">
              <w:rPr>
                <w:szCs w:val="24"/>
              </w:rPr>
              <w:t>ыночн</w:t>
            </w:r>
            <w:r>
              <w:rPr>
                <w:szCs w:val="24"/>
              </w:rPr>
              <w:t>ой</w:t>
            </w:r>
            <w:r w:rsidR="00D318FC">
              <w:rPr>
                <w:szCs w:val="24"/>
              </w:rPr>
              <w:t xml:space="preserve"> стоимост</w:t>
            </w:r>
            <w:r>
              <w:rPr>
                <w:szCs w:val="24"/>
              </w:rPr>
              <w:t>и</w:t>
            </w:r>
            <w:r w:rsidR="00D318FC">
              <w:rPr>
                <w:szCs w:val="24"/>
              </w:rPr>
              <w:t xml:space="preserve"> НДС</w:t>
            </w:r>
            <w:r>
              <w:rPr>
                <w:szCs w:val="24"/>
              </w:rPr>
              <w:t xml:space="preserve"> в итог не включается.</w:t>
            </w:r>
          </w:p>
        </w:tc>
        <w:tc>
          <w:tcPr>
            <w:tcW w:w="623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0342CB" w:rsidRDefault="00A74F18" w:rsidP="007D70D1">
            <w:pPr>
              <w:spacing w:before="60" w:after="60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</w:tr>
      <w:tr w:rsidR="00C176C8" w:rsidRPr="001C31BE" w:rsidTr="00D21D5A">
        <w:tc>
          <w:tcPr>
            <w:tcW w:w="95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C176C8" w:rsidRPr="00D21D5A" w:rsidRDefault="00C176C8" w:rsidP="00D21D5A">
            <w:pPr>
              <w:spacing w:before="60" w:after="60"/>
              <w:rPr>
                <w:color w:val="595959" w:themeColor="text1" w:themeTint="A6"/>
                <w:szCs w:val="24"/>
              </w:rPr>
            </w:pPr>
            <w:r w:rsidRPr="00D21D5A">
              <w:rPr>
                <w:color w:val="595959" w:themeColor="text1" w:themeTint="A6"/>
                <w:szCs w:val="24"/>
              </w:rPr>
              <w:t>55</w:t>
            </w:r>
          </w:p>
        </w:tc>
        <w:tc>
          <w:tcPr>
            <w:tcW w:w="3685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C176C8" w:rsidRDefault="00847B13" w:rsidP="00EF73ED">
            <w:pPr>
              <w:spacing w:before="60" w:after="60"/>
              <w:rPr>
                <w:szCs w:val="24"/>
              </w:rPr>
            </w:pPr>
            <w:r>
              <w:rPr>
                <w:szCs w:val="24"/>
              </w:rPr>
              <w:t>Гражданин может быть освобожден от уплаты обязательных платежей</w:t>
            </w:r>
            <w:r w:rsidR="00AB66E5">
              <w:rPr>
                <w:szCs w:val="24"/>
              </w:rPr>
              <w:t xml:space="preserve"> как ИП, </w:t>
            </w:r>
            <w:r>
              <w:rPr>
                <w:szCs w:val="24"/>
              </w:rPr>
              <w:t>если докажет отсутствие возможности своевременно прекратить</w:t>
            </w:r>
            <w:r w:rsidR="00EF73ED">
              <w:rPr>
                <w:szCs w:val="24"/>
              </w:rPr>
              <w:t xml:space="preserve"> предпринимательский</w:t>
            </w:r>
            <w:r>
              <w:rPr>
                <w:szCs w:val="24"/>
              </w:rPr>
              <w:t xml:space="preserve"> статус</w:t>
            </w:r>
            <w:r w:rsidR="00EF73ED">
              <w:rPr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C176C8" w:rsidRDefault="006D7FF8" w:rsidP="00E81825">
            <w:pPr>
              <w:spacing w:before="60" w:after="60"/>
              <w:rPr>
                <w:szCs w:val="24"/>
              </w:rPr>
            </w:pPr>
            <w:r>
              <w:rPr>
                <w:szCs w:val="24"/>
              </w:rPr>
              <w:t>В рассмотренном ВС РФ примере гражданин не осуществлял предпринимательскую деятельность в период лишения свободы.</w:t>
            </w:r>
          </w:p>
        </w:tc>
      </w:tr>
      <w:tr w:rsidR="00C176C8" w:rsidRPr="001C31BE" w:rsidTr="00D21D5A">
        <w:tc>
          <w:tcPr>
            <w:tcW w:w="95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C176C8" w:rsidRPr="00D21D5A" w:rsidRDefault="00C176C8" w:rsidP="00D21D5A">
            <w:pPr>
              <w:spacing w:before="60" w:after="60"/>
              <w:rPr>
                <w:color w:val="595959" w:themeColor="text1" w:themeTint="A6"/>
                <w:szCs w:val="24"/>
              </w:rPr>
            </w:pPr>
            <w:r w:rsidRPr="00D21D5A">
              <w:rPr>
                <w:color w:val="595959" w:themeColor="text1" w:themeTint="A6"/>
                <w:szCs w:val="24"/>
              </w:rPr>
              <w:t>56</w:t>
            </w:r>
          </w:p>
        </w:tc>
        <w:tc>
          <w:tcPr>
            <w:tcW w:w="3685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B02D1C" w:rsidRDefault="00A74F18" w:rsidP="00E81825">
            <w:pPr>
              <w:spacing w:before="60" w:after="60"/>
              <w:rPr>
                <w:szCs w:val="24"/>
              </w:rPr>
            </w:pPr>
            <w:r>
              <w:rPr>
                <w:szCs w:val="24"/>
              </w:rPr>
              <w:t xml:space="preserve">Неправильная территориальная </w:t>
            </w:r>
            <w:r w:rsidR="00B02D1C">
              <w:rPr>
                <w:szCs w:val="24"/>
              </w:rPr>
              <w:t>подсудност</w:t>
            </w:r>
            <w:r>
              <w:rPr>
                <w:szCs w:val="24"/>
              </w:rPr>
              <w:t>ь</w:t>
            </w:r>
            <w:r w:rsidR="00B02D1C">
              <w:rPr>
                <w:szCs w:val="24"/>
              </w:rPr>
              <w:t xml:space="preserve"> </w:t>
            </w:r>
            <w:r>
              <w:rPr>
                <w:szCs w:val="24"/>
              </w:rPr>
              <w:t>– фундаментальное нарушение, влияющее</w:t>
            </w:r>
            <w:r w:rsidRPr="00A74F18">
              <w:rPr>
                <w:szCs w:val="24"/>
              </w:rPr>
              <w:t xml:space="preserve"> на исход дела, и </w:t>
            </w:r>
            <w:r w:rsidR="00B02D1C">
              <w:rPr>
                <w:szCs w:val="24"/>
              </w:rPr>
              <w:t xml:space="preserve">влечет отмену </w:t>
            </w:r>
            <w:r>
              <w:rPr>
                <w:szCs w:val="24"/>
              </w:rPr>
              <w:t>решения</w:t>
            </w:r>
            <w:r w:rsidR="00B02D1C">
              <w:rPr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C176C8" w:rsidRDefault="006D7FF8" w:rsidP="007D70D1">
            <w:pPr>
              <w:spacing w:before="60" w:after="60"/>
              <w:rPr>
                <w:szCs w:val="24"/>
              </w:rPr>
            </w:pPr>
            <w:r>
              <w:rPr>
                <w:szCs w:val="24"/>
              </w:rPr>
              <w:t xml:space="preserve">В рассмотренном ВС РФ примере речь шла о производстве по </w:t>
            </w:r>
            <w:proofErr w:type="gramStart"/>
            <w:r>
              <w:rPr>
                <w:szCs w:val="24"/>
              </w:rPr>
              <w:t>делам</w:t>
            </w:r>
            <w:proofErr w:type="gramEnd"/>
            <w:r>
              <w:rPr>
                <w:szCs w:val="24"/>
              </w:rPr>
              <w:t xml:space="preserve"> об административных правонарушениях, но может быть использована и для других видов процесса.</w:t>
            </w:r>
          </w:p>
        </w:tc>
      </w:tr>
      <w:tr w:rsidR="004F1048" w:rsidRPr="001C31BE" w:rsidTr="00D21D5A">
        <w:trPr>
          <w:trHeight w:val="957"/>
        </w:trPr>
        <w:tc>
          <w:tcPr>
            <w:tcW w:w="959" w:type="dxa"/>
            <w:tcBorders>
              <w:top w:val="single" w:sz="4" w:space="0" w:color="404040" w:themeColor="text1" w:themeTint="BF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:rsidR="004F1048" w:rsidRPr="00D21D5A" w:rsidRDefault="007D268F" w:rsidP="00D21D5A">
            <w:pPr>
              <w:spacing w:before="60" w:after="60"/>
              <w:rPr>
                <w:color w:val="4F6228" w:themeColor="accent3" w:themeShade="80"/>
                <w:szCs w:val="24"/>
              </w:rPr>
            </w:pPr>
            <w:r w:rsidRPr="00D21D5A">
              <w:rPr>
                <w:color w:val="4F6228" w:themeColor="accent3" w:themeShade="80"/>
                <w:szCs w:val="24"/>
              </w:rPr>
              <w:t>В</w:t>
            </w:r>
            <w:proofErr w:type="gramStart"/>
            <w:r w:rsidRPr="00D21D5A">
              <w:rPr>
                <w:color w:val="4F6228" w:themeColor="accent3" w:themeShade="80"/>
                <w:szCs w:val="24"/>
              </w:rPr>
              <w:t>4</w:t>
            </w:r>
            <w:proofErr w:type="gramEnd"/>
          </w:p>
        </w:tc>
        <w:tc>
          <w:tcPr>
            <w:tcW w:w="9922" w:type="dxa"/>
            <w:gridSpan w:val="2"/>
            <w:tcBorders>
              <w:top w:val="single" w:sz="4" w:space="0" w:color="404040" w:themeColor="text1" w:themeTint="BF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:rsidR="004F1048" w:rsidRPr="00710590" w:rsidRDefault="00657CB3" w:rsidP="00E81825">
            <w:pPr>
              <w:spacing w:before="60" w:after="60"/>
              <w:rPr>
                <w:szCs w:val="24"/>
              </w:rPr>
            </w:pPr>
            <w:bookmarkStart w:id="5" w:name="dst101333"/>
            <w:bookmarkEnd w:id="5"/>
            <w:r w:rsidRPr="00710590">
              <w:rPr>
                <w:szCs w:val="24"/>
              </w:rPr>
              <w:t>Т</w:t>
            </w:r>
            <w:r w:rsidR="007D268F" w:rsidRPr="00710590">
              <w:rPr>
                <w:szCs w:val="24"/>
              </w:rPr>
              <w:t>ребовани</w:t>
            </w:r>
            <w:r w:rsidRPr="00710590">
              <w:rPr>
                <w:szCs w:val="24"/>
              </w:rPr>
              <w:t xml:space="preserve">е о наличии высшего юридического образования или ученой степени </w:t>
            </w:r>
            <w:r w:rsidR="007D268F" w:rsidRPr="00710590">
              <w:rPr>
                <w:szCs w:val="24"/>
              </w:rPr>
              <w:t>не распространя</w:t>
            </w:r>
            <w:r w:rsidR="00A74F18">
              <w:rPr>
                <w:szCs w:val="24"/>
              </w:rPr>
              <w:t>е</w:t>
            </w:r>
            <w:r w:rsidR="007D268F" w:rsidRPr="00710590">
              <w:rPr>
                <w:szCs w:val="24"/>
              </w:rPr>
              <w:t>тся</w:t>
            </w:r>
            <w:r w:rsidRPr="00710590">
              <w:rPr>
                <w:szCs w:val="24"/>
              </w:rPr>
              <w:t xml:space="preserve"> </w:t>
            </w:r>
            <w:r w:rsidR="00A74F18" w:rsidRPr="00710590">
              <w:rPr>
                <w:szCs w:val="24"/>
              </w:rPr>
              <w:t>на представител</w:t>
            </w:r>
            <w:r w:rsidR="00A74F18">
              <w:rPr>
                <w:szCs w:val="24"/>
              </w:rPr>
              <w:t>ей</w:t>
            </w:r>
            <w:r w:rsidR="00A74F18" w:rsidRPr="00710590">
              <w:rPr>
                <w:szCs w:val="24"/>
              </w:rPr>
              <w:t xml:space="preserve"> </w:t>
            </w:r>
            <w:r w:rsidR="00A74F18">
              <w:rPr>
                <w:szCs w:val="24"/>
              </w:rPr>
              <w:t>в</w:t>
            </w:r>
            <w:r w:rsidR="00A74F18" w:rsidRPr="00710590">
              <w:rPr>
                <w:szCs w:val="24"/>
              </w:rPr>
              <w:t xml:space="preserve"> </w:t>
            </w:r>
            <w:proofErr w:type="spellStart"/>
            <w:r w:rsidR="00A74F18" w:rsidRPr="00143848">
              <w:rPr>
                <w:b/>
                <w:szCs w:val="24"/>
              </w:rPr>
              <w:t>ДоБ</w:t>
            </w:r>
            <w:proofErr w:type="spellEnd"/>
            <w:r w:rsidR="00A74F18" w:rsidRPr="00710590">
              <w:rPr>
                <w:szCs w:val="24"/>
              </w:rPr>
              <w:t xml:space="preserve"> </w:t>
            </w:r>
            <w:r w:rsidRPr="00710590">
              <w:rPr>
                <w:szCs w:val="24"/>
              </w:rPr>
              <w:t xml:space="preserve">в силу отсутствия такого требования в специальной по </w:t>
            </w:r>
            <w:r w:rsidR="00256D7E">
              <w:rPr>
                <w:szCs w:val="24"/>
              </w:rPr>
              <w:t>отношению к статье АПК РФ норме</w:t>
            </w:r>
            <w:r w:rsidRPr="00710590">
              <w:rPr>
                <w:szCs w:val="24"/>
              </w:rPr>
              <w:t xml:space="preserve"> </w:t>
            </w:r>
            <w:r w:rsidR="00256D7E" w:rsidRPr="00D21D5A">
              <w:rPr>
                <w:b/>
                <w:szCs w:val="24"/>
              </w:rPr>
              <w:t>ЗоБ</w:t>
            </w:r>
            <w:r w:rsidRPr="00710590">
              <w:rPr>
                <w:szCs w:val="24"/>
              </w:rPr>
              <w:t>.</w:t>
            </w:r>
          </w:p>
        </w:tc>
      </w:tr>
    </w:tbl>
    <w:p w:rsidR="00A25C62" w:rsidRDefault="00A25C62"/>
    <w:sectPr w:rsidR="00A25C62" w:rsidSect="00F464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B7907"/>
    <w:multiLevelType w:val="hybridMultilevel"/>
    <w:tmpl w:val="A5620B7C"/>
    <w:lvl w:ilvl="0" w:tplc="0419000F">
      <w:start w:val="1"/>
      <w:numFmt w:val="decimal"/>
      <w:lvlText w:val="%1."/>
      <w:lvlJc w:val="left"/>
      <w:pPr>
        <w:ind w:left="1509" w:hanging="360"/>
      </w:pPr>
    </w:lvl>
    <w:lvl w:ilvl="1" w:tplc="04190019" w:tentative="1">
      <w:start w:val="1"/>
      <w:numFmt w:val="lowerLetter"/>
      <w:lvlText w:val="%2."/>
      <w:lvlJc w:val="left"/>
      <w:pPr>
        <w:ind w:left="2229" w:hanging="360"/>
      </w:pPr>
    </w:lvl>
    <w:lvl w:ilvl="2" w:tplc="0419001B" w:tentative="1">
      <w:start w:val="1"/>
      <w:numFmt w:val="lowerRoman"/>
      <w:lvlText w:val="%3."/>
      <w:lvlJc w:val="right"/>
      <w:pPr>
        <w:ind w:left="2949" w:hanging="180"/>
      </w:pPr>
    </w:lvl>
    <w:lvl w:ilvl="3" w:tplc="0419000F" w:tentative="1">
      <w:start w:val="1"/>
      <w:numFmt w:val="decimal"/>
      <w:lvlText w:val="%4."/>
      <w:lvlJc w:val="left"/>
      <w:pPr>
        <w:ind w:left="3669" w:hanging="360"/>
      </w:pPr>
    </w:lvl>
    <w:lvl w:ilvl="4" w:tplc="04190019" w:tentative="1">
      <w:start w:val="1"/>
      <w:numFmt w:val="lowerLetter"/>
      <w:lvlText w:val="%5."/>
      <w:lvlJc w:val="left"/>
      <w:pPr>
        <w:ind w:left="4389" w:hanging="360"/>
      </w:pPr>
    </w:lvl>
    <w:lvl w:ilvl="5" w:tplc="0419001B" w:tentative="1">
      <w:start w:val="1"/>
      <w:numFmt w:val="lowerRoman"/>
      <w:lvlText w:val="%6."/>
      <w:lvlJc w:val="right"/>
      <w:pPr>
        <w:ind w:left="5109" w:hanging="180"/>
      </w:pPr>
    </w:lvl>
    <w:lvl w:ilvl="6" w:tplc="0419000F" w:tentative="1">
      <w:start w:val="1"/>
      <w:numFmt w:val="decimal"/>
      <w:lvlText w:val="%7."/>
      <w:lvlJc w:val="left"/>
      <w:pPr>
        <w:ind w:left="5829" w:hanging="360"/>
      </w:pPr>
    </w:lvl>
    <w:lvl w:ilvl="7" w:tplc="04190019" w:tentative="1">
      <w:start w:val="1"/>
      <w:numFmt w:val="lowerLetter"/>
      <w:lvlText w:val="%8."/>
      <w:lvlJc w:val="left"/>
      <w:pPr>
        <w:ind w:left="6549" w:hanging="360"/>
      </w:pPr>
    </w:lvl>
    <w:lvl w:ilvl="8" w:tplc="0419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1">
    <w:nsid w:val="51253FC8"/>
    <w:multiLevelType w:val="hybridMultilevel"/>
    <w:tmpl w:val="3EF25202"/>
    <w:lvl w:ilvl="0" w:tplc="8408CF54">
      <w:start w:val="1"/>
      <w:numFmt w:val="russianLow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3808EC"/>
    <w:multiLevelType w:val="hybridMultilevel"/>
    <w:tmpl w:val="8976D76C"/>
    <w:lvl w:ilvl="0" w:tplc="2E7CB2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A75BAF"/>
    <w:multiLevelType w:val="hybridMultilevel"/>
    <w:tmpl w:val="1D2EE43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57FE7267"/>
    <w:multiLevelType w:val="hybridMultilevel"/>
    <w:tmpl w:val="315031D6"/>
    <w:lvl w:ilvl="0" w:tplc="12549D5A">
      <w:start w:val="1"/>
      <w:numFmt w:val="decimal"/>
      <w:lvlText w:val="%1)"/>
      <w:lvlJc w:val="left"/>
      <w:pPr>
        <w:ind w:left="172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5ABD3ED9"/>
    <w:multiLevelType w:val="hybridMultilevel"/>
    <w:tmpl w:val="8AD23C9C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6">
    <w:nsid w:val="73234382"/>
    <w:multiLevelType w:val="hybridMultilevel"/>
    <w:tmpl w:val="C8C6C70A"/>
    <w:lvl w:ilvl="0" w:tplc="10A4A9B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7FD"/>
    <w:rsid w:val="00014A9B"/>
    <w:rsid w:val="000342CB"/>
    <w:rsid w:val="0008342E"/>
    <w:rsid w:val="000A43CC"/>
    <w:rsid w:val="000B12D6"/>
    <w:rsid w:val="000F4104"/>
    <w:rsid w:val="0010274E"/>
    <w:rsid w:val="00103FD7"/>
    <w:rsid w:val="00110715"/>
    <w:rsid w:val="0011479F"/>
    <w:rsid w:val="0015109F"/>
    <w:rsid w:val="001A35BC"/>
    <w:rsid w:val="001C3A58"/>
    <w:rsid w:val="001D675D"/>
    <w:rsid w:val="001D6852"/>
    <w:rsid w:val="0020233E"/>
    <w:rsid w:val="00226EAE"/>
    <w:rsid w:val="00232EEC"/>
    <w:rsid w:val="00256D7E"/>
    <w:rsid w:val="00266BC3"/>
    <w:rsid w:val="0028046C"/>
    <w:rsid w:val="00287103"/>
    <w:rsid w:val="002B32A7"/>
    <w:rsid w:val="002E5E2E"/>
    <w:rsid w:val="002F03D2"/>
    <w:rsid w:val="00311DD4"/>
    <w:rsid w:val="0031521D"/>
    <w:rsid w:val="00321DAD"/>
    <w:rsid w:val="00345491"/>
    <w:rsid w:val="003546B4"/>
    <w:rsid w:val="00364AE2"/>
    <w:rsid w:val="003854C7"/>
    <w:rsid w:val="00387EC2"/>
    <w:rsid w:val="00405197"/>
    <w:rsid w:val="00410CB9"/>
    <w:rsid w:val="00422542"/>
    <w:rsid w:val="0042555B"/>
    <w:rsid w:val="00425B7B"/>
    <w:rsid w:val="0043026B"/>
    <w:rsid w:val="004350AF"/>
    <w:rsid w:val="0044330B"/>
    <w:rsid w:val="00446F4C"/>
    <w:rsid w:val="004569F5"/>
    <w:rsid w:val="00456CD2"/>
    <w:rsid w:val="004823C3"/>
    <w:rsid w:val="004855A0"/>
    <w:rsid w:val="004A1677"/>
    <w:rsid w:val="004A55BC"/>
    <w:rsid w:val="004B235A"/>
    <w:rsid w:val="004B7DDE"/>
    <w:rsid w:val="004C790D"/>
    <w:rsid w:val="004E6A42"/>
    <w:rsid w:val="004F1048"/>
    <w:rsid w:val="004F4A87"/>
    <w:rsid w:val="005170CD"/>
    <w:rsid w:val="00517F60"/>
    <w:rsid w:val="00543AD4"/>
    <w:rsid w:val="00543E3E"/>
    <w:rsid w:val="00554B8E"/>
    <w:rsid w:val="00555101"/>
    <w:rsid w:val="0056082F"/>
    <w:rsid w:val="005658DB"/>
    <w:rsid w:val="00570F59"/>
    <w:rsid w:val="00573188"/>
    <w:rsid w:val="005853E0"/>
    <w:rsid w:val="00586225"/>
    <w:rsid w:val="00590FBE"/>
    <w:rsid w:val="005A078C"/>
    <w:rsid w:val="005B6CAE"/>
    <w:rsid w:val="005C56D4"/>
    <w:rsid w:val="005E2C03"/>
    <w:rsid w:val="005E2DEA"/>
    <w:rsid w:val="005F0A54"/>
    <w:rsid w:val="005F28B0"/>
    <w:rsid w:val="006079AE"/>
    <w:rsid w:val="00613EE2"/>
    <w:rsid w:val="00625142"/>
    <w:rsid w:val="00657CB3"/>
    <w:rsid w:val="00680427"/>
    <w:rsid w:val="00685C25"/>
    <w:rsid w:val="006A135C"/>
    <w:rsid w:val="006B0866"/>
    <w:rsid w:val="006B388C"/>
    <w:rsid w:val="006D352E"/>
    <w:rsid w:val="006D7D69"/>
    <w:rsid w:val="006D7FF8"/>
    <w:rsid w:val="006E1095"/>
    <w:rsid w:val="0070745E"/>
    <w:rsid w:val="00710590"/>
    <w:rsid w:val="00711D93"/>
    <w:rsid w:val="00720034"/>
    <w:rsid w:val="00752E7D"/>
    <w:rsid w:val="00753315"/>
    <w:rsid w:val="00787498"/>
    <w:rsid w:val="007B7179"/>
    <w:rsid w:val="007C4E11"/>
    <w:rsid w:val="007D268F"/>
    <w:rsid w:val="007D70D1"/>
    <w:rsid w:val="007E7817"/>
    <w:rsid w:val="007F532A"/>
    <w:rsid w:val="007F5CFD"/>
    <w:rsid w:val="00823EEF"/>
    <w:rsid w:val="00825012"/>
    <w:rsid w:val="008251D0"/>
    <w:rsid w:val="00847B13"/>
    <w:rsid w:val="0086682C"/>
    <w:rsid w:val="008954D9"/>
    <w:rsid w:val="008A5A0B"/>
    <w:rsid w:val="008B3A11"/>
    <w:rsid w:val="008B4905"/>
    <w:rsid w:val="008D4715"/>
    <w:rsid w:val="008E023F"/>
    <w:rsid w:val="008E20A3"/>
    <w:rsid w:val="008F4745"/>
    <w:rsid w:val="008F51E4"/>
    <w:rsid w:val="00905EAC"/>
    <w:rsid w:val="009277EC"/>
    <w:rsid w:val="009633E6"/>
    <w:rsid w:val="009634AD"/>
    <w:rsid w:val="0098057E"/>
    <w:rsid w:val="009A79B7"/>
    <w:rsid w:val="009B3D55"/>
    <w:rsid w:val="009C4017"/>
    <w:rsid w:val="009E2CEF"/>
    <w:rsid w:val="009F149B"/>
    <w:rsid w:val="009F36BA"/>
    <w:rsid w:val="00A25C62"/>
    <w:rsid w:val="00A31EA8"/>
    <w:rsid w:val="00A507B7"/>
    <w:rsid w:val="00A63E7F"/>
    <w:rsid w:val="00A672C7"/>
    <w:rsid w:val="00A7295F"/>
    <w:rsid w:val="00A74F18"/>
    <w:rsid w:val="00A804FA"/>
    <w:rsid w:val="00A8061E"/>
    <w:rsid w:val="00AB0CD6"/>
    <w:rsid w:val="00AB5795"/>
    <w:rsid w:val="00AB66E5"/>
    <w:rsid w:val="00AC338D"/>
    <w:rsid w:val="00AD00F3"/>
    <w:rsid w:val="00AE0ADD"/>
    <w:rsid w:val="00AF16B5"/>
    <w:rsid w:val="00B02D1C"/>
    <w:rsid w:val="00B2147F"/>
    <w:rsid w:val="00B2296B"/>
    <w:rsid w:val="00B414C8"/>
    <w:rsid w:val="00B50A38"/>
    <w:rsid w:val="00B807FD"/>
    <w:rsid w:val="00B8299D"/>
    <w:rsid w:val="00BA647D"/>
    <w:rsid w:val="00BC1BCD"/>
    <w:rsid w:val="00BD7906"/>
    <w:rsid w:val="00BE3853"/>
    <w:rsid w:val="00BE4B61"/>
    <w:rsid w:val="00C110BD"/>
    <w:rsid w:val="00C16DE5"/>
    <w:rsid w:val="00C176C8"/>
    <w:rsid w:val="00C47751"/>
    <w:rsid w:val="00C52DAF"/>
    <w:rsid w:val="00C62744"/>
    <w:rsid w:val="00C70163"/>
    <w:rsid w:val="00C8637F"/>
    <w:rsid w:val="00C96C35"/>
    <w:rsid w:val="00CA0616"/>
    <w:rsid w:val="00CC3332"/>
    <w:rsid w:val="00CF09D8"/>
    <w:rsid w:val="00CF572F"/>
    <w:rsid w:val="00D01BC7"/>
    <w:rsid w:val="00D058A9"/>
    <w:rsid w:val="00D21D5A"/>
    <w:rsid w:val="00D318FC"/>
    <w:rsid w:val="00D55CD3"/>
    <w:rsid w:val="00D63FE5"/>
    <w:rsid w:val="00DC17F6"/>
    <w:rsid w:val="00DC3303"/>
    <w:rsid w:val="00DF46F9"/>
    <w:rsid w:val="00E02EB8"/>
    <w:rsid w:val="00E30792"/>
    <w:rsid w:val="00E46AA7"/>
    <w:rsid w:val="00E57673"/>
    <w:rsid w:val="00E7017A"/>
    <w:rsid w:val="00E75216"/>
    <w:rsid w:val="00E81825"/>
    <w:rsid w:val="00E90F5D"/>
    <w:rsid w:val="00E93240"/>
    <w:rsid w:val="00EC4502"/>
    <w:rsid w:val="00EE3F44"/>
    <w:rsid w:val="00EF29C5"/>
    <w:rsid w:val="00EF6632"/>
    <w:rsid w:val="00EF73ED"/>
    <w:rsid w:val="00F118FB"/>
    <w:rsid w:val="00F30058"/>
    <w:rsid w:val="00F34B67"/>
    <w:rsid w:val="00F46452"/>
    <w:rsid w:val="00F54A2E"/>
    <w:rsid w:val="00F75A55"/>
    <w:rsid w:val="00F83E7D"/>
    <w:rsid w:val="00F94AEB"/>
    <w:rsid w:val="00FB011C"/>
    <w:rsid w:val="00FB50CE"/>
    <w:rsid w:val="00FC51B4"/>
    <w:rsid w:val="00FC6058"/>
    <w:rsid w:val="00FE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7F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link w:val="10"/>
    <w:uiPriority w:val="9"/>
    <w:qFormat/>
    <w:rsid w:val="00DC3303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07FD"/>
    <w:pPr>
      <w:spacing w:after="0" w:line="240" w:lineRule="auto"/>
    </w:pPr>
    <w:rPr>
      <w:rFonts w:ascii="Bookman Old Style" w:eastAsia="Calibri" w:hAnsi="Bookman Old Style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07F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507B7"/>
    <w:rPr>
      <w:color w:val="800080" w:themeColor="followedHyperlink"/>
      <w:u w:val="single"/>
    </w:rPr>
  </w:style>
  <w:style w:type="character" w:customStyle="1" w:styleId="blk">
    <w:name w:val="blk"/>
    <w:basedOn w:val="a0"/>
    <w:rsid w:val="00E93240"/>
  </w:style>
  <w:style w:type="paragraph" w:styleId="a6">
    <w:name w:val="List Paragraph"/>
    <w:basedOn w:val="a"/>
    <w:uiPriority w:val="34"/>
    <w:qFormat/>
    <w:rsid w:val="00AC338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C33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br">
    <w:name w:val="nobr"/>
    <w:basedOn w:val="a0"/>
    <w:rsid w:val="00FB011C"/>
  </w:style>
  <w:style w:type="character" w:styleId="a7">
    <w:name w:val="annotation reference"/>
    <w:basedOn w:val="a0"/>
    <w:uiPriority w:val="99"/>
    <w:semiHidden/>
    <w:unhideWhenUsed/>
    <w:rsid w:val="00BE4B6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E4B61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E4B61"/>
    <w:rPr>
      <w:rFonts w:ascii="Times New Roman" w:eastAsia="Calibri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E4B6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E4B61"/>
    <w:rPr>
      <w:rFonts w:ascii="Times New Roman" w:eastAsia="Calibri" w:hAnsi="Times New Roman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E4B6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E4B6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7F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link w:val="10"/>
    <w:uiPriority w:val="9"/>
    <w:qFormat/>
    <w:rsid w:val="00DC3303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07FD"/>
    <w:pPr>
      <w:spacing w:after="0" w:line="240" w:lineRule="auto"/>
    </w:pPr>
    <w:rPr>
      <w:rFonts w:ascii="Bookman Old Style" w:eastAsia="Calibri" w:hAnsi="Bookman Old Style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07F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507B7"/>
    <w:rPr>
      <w:color w:val="800080" w:themeColor="followedHyperlink"/>
      <w:u w:val="single"/>
    </w:rPr>
  </w:style>
  <w:style w:type="character" w:customStyle="1" w:styleId="blk">
    <w:name w:val="blk"/>
    <w:basedOn w:val="a0"/>
    <w:rsid w:val="00E93240"/>
  </w:style>
  <w:style w:type="paragraph" w:styleId="a6">
    <w:name w:val="List Paragraph"/>
    <w:basedOn w:val="a"/>
    <w:uiPriority w:val="34"/>
    <w:qFormat/>
    <w:rsid w:val="00AC338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C33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br">
    <w:name w:val="nobr"/>
    <w:basedOn w:val="a0"/>
    <w:rsid w:val="00FB011C"/>
  </w:style>
  <w:style w:type="character" w:styleId="a7">
    <w:name w:val="annotation reference"/>
    <w:basedOn w:val="a0"/>
    <w:uiPriority w:val="99"/>
    <w:semiHidden/>
    <w:unhideWhenUsed/>
    <w:rsid w:val="00BE4B6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E4B61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E4B61"/>
    <w:rPr>
      <w:rFonts w:ascii="Times New Roman" w:eastAsia="Calibri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E4B6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E4B61"/>
    <w:rPr>
      <w:rFonts w:ascii="Times New Roman" w:eastAsia="Calibri" w:hAnsi="Times New Roman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E4B6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E4B6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196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38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14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180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74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0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44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54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6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008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25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8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48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555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40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28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5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38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56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69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548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16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43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11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88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6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41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29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upcourt.ru/documents/practice/2899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122A94-BF04-45EB-86EB-027B64EF2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anna.koroleva1997@gmail.com</dc:creator>
  <cp:lastModifiedBy>Московенко Владимир Михайлович</cp:lastModifiedBy>
  <cp:revision>4</cp:revision>
  <dcterms:created xsi:type="dcterms:W3CDTF">2020-07-14T09:34:00Z</dcterms:created>
  <dcterms:modified xsi:type="dcterms:W3CDTF">2020-07-14T09:36:00Z</dcterms:modified>
</cp:coreProperties>
</file>